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prepared to ensure the prevention, detection and punishment of bribery, corruption, conflicts of interest, irregularities and similar unethical practices, in line with the principles of transparency, ethical conduct and legal compliance in all activities of the factory.</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all employees, managers, interns, suppliers, customer representatives, subcontractors and other cooperating third parties working at the company's textile and garment factory established in Egypt. Everyone acting on behalf of the organisation is obliged to comply with the provisions of this procedure.</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All internal and external stakeholders.</w:t>
      </w:r>
    </w:p>
    <w:p>
      <w:pPr>
        <w:pStyle w:val="ListeParagraf"/>
        <w:spacing w:before="120" w:after="60"/>
        <w:ind w:left="709" w:right="0"/>
      </w:pPr>
      <w:r>
        <w:rPr>
          <w:rFonts w:ascii="Calibri" w:hAnsi="Calibri" w:cs="Arial"/>
          <w:b/>
          <w:bCs/>
          <w:sz w:val="24"/>
          <w:szCs w:val="24"/>
        </w:rPr>
        <w:t xml:space="preserve">4. MAIN PROCESSES AND SUB-PROCESSES</w:t>
      </w:r>
    </w:p>
    <w:p>
      <w:pPr>
        <w:pStyle w:val="ListeParagraf"/>
        <w:spacing w:before="80" w:after="40"/>
        <w:ind w:left="709" w:right="0"/>
      </w:pPr>
      <w:r>
        <w:rPr>
          <w:rFonts w:ascii="Calibri" w:hAnsi="Calibri" w:cs="Arial"/>
          <w:b/>
          <w:bCs/>
          <w:sz w:val="24"/>
          <w:szCs w:val="24"/>
        </w:rPr>
        <w:t xml:space="preserve">4.1 Definition of Bribery and Corruption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4.1.1 Definition of Bribery: </w:t>
      </w:r>
      <w:r>
        <w:rPr>
          <w:rFonts w:ascii="Calibri" w:hAnsi="Calibri" w:cs="Arial"/>
          <w:sz w:val="24"/>
          <w:szCs w:val="24"/>
        </w:rPr>
        <w:t xml:space="preserve">The act of offering, giving or receiving money, gifts, services or any other benefit in order to have any work done unfairly.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4.1.2 Definition of Corruption: </w:t>
      </w:r>
      <w:r>
        <w:rPr>
          <w:rFonts w:ascii="Calibri" w:hAnsi="Calibri" w:cs="Arial"/>
          <w:sz w:val="24"/>
          <w:szCs w:val="24"/>
        </w:rPr>
        <w:t xml:space="preserve">The abuse of public or private duties for personal interests. For example: inflating prices in the purchasing process, creating a conflict of interest in sample acceptance, or granting privileges in recruitment.</w:t>
      </w:r>
    </w:p>
    <w:p>
      <w:pPr>
        <w:pStyle w:val="ListeParagraf"/>
        <w:spacing w:before="80" w:after="40"/>
        <w:ind w:left="709" w:right="0"/>
      </w:pPr>
      <w:r>
        <w:rPr>
          <w:rFonts w:ascii="Calibri" w:hAnsi="Calibri" w:cs="Arial"/>
          <w:b/>
          <w:bCs/>
          <w:sz w:val="24"/>
          <w:szCs w:val="24"/>
        </w:rPr>
        <w:t xml:space="preserve">4.2 Prevention Strategies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4.2.1 Training and Awareness: </w:t>
      </w:r>
      <w:r>
        <w:rPr>
          <w:rFonts w:ascii="Calibri" w:hAnsi="Calibri" w:cs="Arial"/>
          <w:sz w:val="24"/>
          <w:szCs w:val="24"/>
        </w:rPr>
        <w:t xml:space="preserve">Employees receive "Ethics and Compliance" training at least once a year. Real examples of bribery and corruption and the related sanctions are shared.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4.2.2 Policy and Declaration Forms: </w:t>
      </w:r>
      <w:r>
        <w:rPr>
          <w:rFonts w:ascii="Calibri" w:hAnsi="Calibri" w:cs="Arial"/>
          <w:sz w:val="24"/>
          <w:szCs w:val="24"/>
        </w:rPr>
        <w:t xml:space="preserve">Suppliers and employees sign a conflict of interest declaration and an anti-corruption commitment. These documents are collected at recruitment and during audits updated annually.</w:t>
      </w:r>
    </w:p>
    <w:p>
      <w:pPr>
        <w:pStyle w:val="ListeParagraf"/>
        <w:spacing w:before="80" w:after="40"/>
        <w:ind w:left="709" w:right="0"/>
      </w:pPr>
      <w:r>
        <w:rPr>
          <w:rFonts w:ascii="Calibri" w:hAnsi="Calibri" w:cs="Arial"/>
          <w:b/>
          <w:bCs/>
          <w:sz w:val="24"/>
          <w:szCs w:val="24"/>
        </w:rPr>
        <w:t xml:space="preserve">4.3 Detection, Reporting and Investigation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4.3.1 Reporting Channels: </w:t>
      </w:r>
      <w:r>
        <w:rPr>
          <w:rFonts w:ascii="Calibri" w:hAnsi="Calibri" w:cs="Arial"/>
          <w:sz w:val="24"/>
          <w:szCs w:val="24"/>
        </w:rPr>
        <w:t xml:space="preserve">All suspicious situations may be reported confidentially through Human Resources and the Ethics Line. Employees whose identity is kept confidential are never penalised.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4.3.2 Preliminary Assessment and Evidence Collection: </w:t>
      </w:r>
      <w:r>
        <w:rPr>
          <w:rFonts w:ascii="Calibri" w:hAnsi="Calibri" w:cs="Arial"/>
          <w:sz w:val="24"/>
          <w:szCs w:val="24"/>
        </w:rPr>
        <w:t xml:space="preserve">After a report, the related processes are suspended, an initial review is carried out and concrete data are collected (e-mail, camera recordings, witness statements, etc.).</w:t>
      </w:r>
    </w:p>
    <w:p>
      <w:pPr>
        <w:pStyle w:val="ListeParagraf"/>
        <w:spacing w:before="80" w:after="40"/>
        <w:ind w:left="709" w:right="0"/>
      </w:pPr>
      <w:r>
        <w:rPr>
          <w:rFonts w:ascii="Calibri" w:hAnsi="Calibri" w:cs="Arial"/>
          <w:b/>
          <w:bCs/>
          <w:sz w:val="24"/>
          <w:szCs w:val="24"/>
        </w:rPr>
        <w:t xml:space="preserve">4.4 Disciplinary and Legal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4.4.1 Board Evaluation and Decision: </w:t>
      </w:r>
      <w:r>
        <w:rPr>
          <w:rFonts w:ascii="Calibri" w:hAnsi="Calibri" w:cs="Arial"/>
          <w:sz w:val="24"/>
          <w:szCs w:val="24"/>
        </w:rPr>
        <w:t xml:space="preserve">The matter is evaluated by a committee formed by the Human Resources Group Manager, Administrative Affairs and the Legal Representative.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4.4.2 Sanctions to Be Applied: </w:t>
      </w:r>
      <w:r>
        <w:rPr>
          <w:rFonts w:ascii="Calibri" w:hAnsi="Calibri" w:cs="Arial"/>
          <w:sz w:val="24"/>
          <w:szCs w:val="24"/>
        </w:rPr>
        <w:t xml:space="preserve">Depending on the nature of the offence, sanctions such as a warning, termination of the employment contract or initiation of criminal proceedings are applied. The contract with the supplier may be cancelled.</w:t>
      </w:r>
    </w:p>
    <w:p>
      <w:pPr>
        <w:pStyle w:val="ListeParagraf"/>
        <w:spacing w:before="80" w:after="40"/>
        <w:ind w:left="709" w:right="0"/>
      </w:pPr>
      <w:r>
        <w:rPr>
          <w:rFonts w:ascii="Calibri" w:hAnsi="Calibri" w:cs="Arial"/>
          <w:b/>
          <w:bCs/>
          <w:sz w:val="24"/>
          <w:szCs w:val="24"/>
        </w:rPr>
        <w:t xml:space="preserve">4.5 Monitoring and Continuous Improvement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4.5.1 Internal Audit and Reporting: </w:t>
      </w:r>
      <w:r>
        <w:rPr>
          <w:rFonts w:ascii="Calibri" w:hAnsi="Calibri" w:cs="Arial"/>
          <w:sz w:val="24"/>
          <w:szCs w:val="24"/>
        </w:rPr>
        <w:t xml:space="preserve">High-risk processes such as purchasing, sample approval and recruitment are audited twice a year. Findings are reported to top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4.5.2 Transparency and Zero Tolerance Principle: </w:t>
      </w:r>
      <w:r>
        <w:rPr>
          <w:rFonts w:ascii="Calibri" w:hAnsi="Calibri" w:cs="Arial"/>
          <w:sz w:val="24"/>
          <w:szCs w:val="24"/>
        </w:rPr>
        <w:t xml:space="preserve">The company applies a "zero tolerance" policy on corruption and bribery. No employee may act in the expectation of being "overlooked".</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أُعدّ هذا الإجراء لضمان منع واكتشاف ومعاقبة الرشوة والفساد وتضارب المصالح والمخالفات والممارسات غير الأخلاقية المماثلة، وفقاً لمبادئ الشفافية والسلوك الأخلاقي والامتثال للقانون في جميع أنشطة المصنع.</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يشمل هذا الإجراء جميع العاملين والمديرين والمتدربين والموردين وممثلي العملاء والمقاولين من الباطن وغيرهم من الأطراف الثالثة المتعاون معها، العاملين في مصنع المنسوجات والملابس الجاهزة التابع للشركة والقائم في مصر. ويلتزم كل من يتصرف باسم المؤسسة بالامتثال لأحكام هذا الإجراء.</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جميع الأطراف المعنية الداخلية والخارجية.</w:t>
      </w:r>
    </w:p>
    <w:p>
      <w:pPr>
        <w:pStyle w:val="ListeParagraf"/>
        <w:bidi/>
        <w:spacing w:before="120" w:after="60"/>
        <w:ind w:left="0" w:right="709"/>
      </w:pPr>
      <w:r>
        <w:rPr>
          <w:rFonts w:ascii="Calibri" w:hAnsi="Calibri" w:cs="Arial"/>
          <w:b/>
          <w:bCs/>
          <w:rtl/>
          <w:sz w:val="24"/>
          <w:szCs w:val="24"/>
        </w:rPr>
        <w:t xml:space="preserve">4. العمليات الرئيسية والفرعية</w:t>
      </w:r>
    </w:p>
    <w:p>
      <w:pPr>
        <w:pStyle w:val="ListeParagraf"/>
        <w:bidi/>
        <w:spacing w:before="80" w:after="40"/>
        <w:ind w:left="0" w:right="709"/>
      </w:pPr>
      <w:r>
        <w:rPr>
          <w:rFonts w:ascii="Calibri" w:hAnsi="Calibri" w:cs="Arial"/>
          <w:b/>
          <w:bCs/>
          <w:rtl/>
          <w:sz w:val="24"/>
          <w:szCs w:val="24"/>
        </w:rPr>
        <w:t xml:space="preserve">4.1 تعريف الرشوة والفساد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4.1.1 تعريف الرشوة: </w:t>
      </w:r>
      <w:r>
        <w:rPr>
          <w:rFonts w:ascii="Calibri" w:hAnsi="Calibri" w:cs="Arial"/>
          <w:rtl/>
          <w:sz w:val="24"/>
          <w:szCs w:val="24"/>
        </w:rPr>
        <w:t xml:space="preserve">هي فعل عرض أو تقديم أو قبول المال أو الهدايا أو الخدمات أو أي منفعة أخرى بهدف إنجاز أي عمل بصورة غير مشروعة.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4.1.2 تعريف الفساد: </w:t>
      </w:r>
      <w:r>
        <w:rPr>
          <w:rFonts w:ascii="Calibri" w:hAnsi="Calibri" w:cs="Arial"/>
          <w:rtl/>
          <w:sz w:val="24"/>
          <w:szCs w:val="24"/>
        </w:rPr>
        <w:t xml:space="preserve">هو إساءة استخدام الوظائف العامة أو الخاصة لتحقيق مصالح شخصية. مثال ذلك: تضخيم الأسعار في عملية الشراء، أو إنشاء علاقة مصلحة في قبول العينات، أو منح امتيازات في التوظيف.</w:t>
      </w:r>
    </w:p>
    <w:p>
      <w:pPr>
        <w:pStyle w:val="ListeParagraf"/>
        <w:bidi/>
        <w:spacing w:before="80" w:after="40"/>
        <w:ind w:left="0" w:right="709"/>
      </w:pPr>
      <w:r>
        <w:rPr>
          <w:rFonts w:ascii="Calibri" w:hAnsi="Calibri" w:cs="Arial"/>
          <w:b/>
          <w:bCs/>
          <w:rtl/>
          <w:sz w:val="24"/>
          <w:szCs w:val="24"/>
        </w:rPr>
        <w:t xml:space="preserve">4.2 استراتيجيات المنع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4.2.1 التدريب والتوعية: </w:t>
      </w:r>
      <w:r>
        <w:rPr>
          <w:rFonts w:ascii="Calibri" w:hAnsi="Calibri" w:cs="Arial"/>
          <w:rtl/>
          <w:sz w:val="24"/>
          <w:szCs w:val="24"/>
        </w:rPr>
        <w:t xml:space="preserve">يتلقى العاملون تدريب "الأخلاقيات والامتثال" مرة واحدة على الأقل سنوياً. وتُعرض أمثلة واقعية عن الرشوة والفساد والجزاءات المترتبة عليها.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4.2.2 نماذج السياسة والإقرار: </w:t>
      </w:r>
      <w:r>
        <w:rPr>
          <w:rFonts w:ascii="Calibri" w:hAnsi="Calibri" w:cs="Arial"/>
          <w:rtl/>
          <w:sz w:val="24"/>
          <w:szCs w:val="24"/>
        </w:rPr>
        <w:t xml:space="preserve">يوقّع الموردون والعاملون إقراراً بتضارب المصالح وتعهداً بمكافحة الفساد. وتُجمع هذه الوثائق عند التعيين وخلال التدقيقات التي تُحدَّث سنوياً.</w:t>
      </w:r>
    </w:p>
    <w:p>
      <w:pPr>
        <w:pStyle w:val="ListeParagraf"/>
        <w:bidi/>
        <w:spacing w:before="80" w:after="40"/>
        <w:ind w:left="0" w:right="709"/>
      </w:pPr>
      <w:r>
        <w:rPr>
          <w:rFonts w:ascii="Calibri" w:hAnsi="Calibri" w:cs="Arial"/>
          <w:b/>
          <w:bCs/>
          <w:rtl/>
          <w:sz w:val="24"/>
          <w:szCs w:val="24"/>
        </w:rPr>
        <w:t xml:space="preserve">4.3 الاكتشاف والإبلاغ والتحقيق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4.3.1 قنوات الإبلاغ: </w:t>
      </w:r>
      <w:r>
        <w:rPr>
          <w:rFonts w:ascii="Calibri" w:hAnsi="Calibri" w:cs="Arial"/>
          <w:rtl/>
          <w:sz w:val="24"/>
          <w:szCs w:val="24"/>
        </w:rPr>
        <w:t xml:space="preserve">يمكن الإبلاغ عن جميع الحالات المشتبه بها بسرية عبر إدارة الموارد البشرية وخط الأخلاقيات. ولا يُعاقَب أبداً العاملون الذين تُحفظ هويتهم بسرية.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4.3.2 التقييم الأولي وجمع الأدلة: </w:t>
      </w:r>
      <w:r>
        <w:rPr>
          <w:rFonts w:ascii="Calibri" w:hAnsi="Calibri" w:cs="Arial"/>
          <w:rtl/>
          <w:sz w:val="24"/>
          <w:szCs w:val="24"/>
        </w:rPr>
        <w:t xml:space="preserve">بعد الإبلاغ تُوقَف العمليات ذات الصلة، ويُجرى فحص أولي، وتُجمع بيانات ملموسة (البريد الإلكتروني، تسجيلات الكاميرات، إفادات الشهود، إلخ).</w:t>
      </w:r>
    </w:p>
    <w:p>
      <w:pPr>
        <w:pStyle w:val="ListeParagraf"/>
        <w:bidi/>
        <w:spacing w:before="80" w:after="40"/>
        <w:ind w:left="0" w:right="709"/>
      </w:pPr>
      <w:r>
        <w:rPr>
          <w:rFonts w:ascii="Calibri" w:hAnsi="Calibri" w:cs="Arial"/>
          <w:b/>
          <w:bCs/>
          <w:rtl/>
          <w:sz w:val="24"/>
          <w:szCs w:val="24"/>
        </w:rPr>
        <w:t xml:space="preserve">4.4 الإجراءات التأديبية والقانونية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4.4.1 تقييم اللجنة والقرار: </w:t>
      </w:r>
      <w:r>
        <w:rPr>
          <w:rFonts w:ascii="Calibri" w:hAnsi="Calibri" w:cs="Arial"/>
          <w:rtl/>
          <w:sz w:val="24"/>
          <w:szCs w:val="24"/>
        </w:rPr>
        <w:t xml:space="preserve">تُقيِّم المسألة لجنة مشكَّلة من مدير مجموعة الموارد البشرية والشؤون الإدارية والممثل القانوني.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4.4.2 الجزاءات الواجب تطبيقها: </w:t>
      </w:r>
      <w:r>
        <w:rPr>
          <w:rFonts w:ascii="Calibri" w:hAnsi="Calibri" w:cs="Arial"/>
          <w:rtl/>
          <w:sz w:val="24"/>
          <w:szCs w:val="24"/>
        </w:rPr>
        <w:t xml:space="preserve">تُطبَّق جزاءات بحسب طبيعة المخالفة مثل الإنذار أو إنهاء عقد العمل أو اتخاذ إجراءات جنائية. ويجوز إلغاء العقد مع المورد.</w:t>
      </w:r>
    </w:p>
    <w:p>
      <w:pPr>
        <w:pStyle w:val="ListeParagraf"/>
        <w:bidi/>
        <w:spacing w:before="80" w:after="40"/>
        <w:ind w:left="0" w:right="709"/>
      </w:pPr>
      <w:r>
        <w:rPr>
          <w:rFonts w:ascii="Calibri" w:hAnsi="Calibri" w:cs="Arial"/>
          <w:b/>
          <w:bCs/>
          <w:rtl/>
          <w:sz w:val="24"/>
          <w:szCs w:val="24"/>
        </w:rPr>
        <w:t xml:space="preserve">4.5 المتابعة والتحسين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4.5.1 التدقيق الداخلي وإعداد التقارير: </w:t>
      </w:r>
      <w:r>
        <w:rPr>
          <w:rFonts w:ascii="Calibri" w:hAnsi="Calibri" w:cs="Arial"/>
          <w:rtl/>
          <w:sz w:val="24"/>
          <w:szCs w:val="24"/>
        </w:rPr>
        <w:t xml:space="preserve">تُدقَّق العمليات عالية المخاطر مثل الشراء واعتماد العينات والتوظيف مرتين سنوياً. وتُرفع النتائج إلى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4.5.2 مبدأ الشفافية وعدم التسامح مطلقاً: </w:t>
      </w:r>
      <w:r>
        <w:rPr>
          <w:rFonts w:ascii="Calibri" w:hAnsi="Calibri" w:cs="Arial"/>
          <w:rtl/>
          <w:sz w:val="24"/>
          <w:szCs w:val="24"/>
        </w:rPr>
        <w:t xml:space="preserve">تطبق الشركة سياسة "عدم التسامح مطلقاً" تجاه الفساد والرشوة. ولا يجوز لأي عامل أن يتصرف متوقعاً "التغاضي" عنه.</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ANTI-BRIBERY AND ANTI-CORRUPTION PROCEDURE</w:t>
          </w:r>
        </w:p>
        <w:p>
          <w:pPr>
            <w:pStyle w:val="GvdeMetni2"/>
            <w:bidi/>
            <w:spacing w:line="276" w:lineRule="auto"/>
            <w:jc w:val="center"/>
          </w:pPr>
          <w:r>
            <w:rPr>
              <w:rFonts w:asciiTheme="minorHAnsi" w:hAnsiTheme="minorHAnsi" w:cs="Arial"/>
              <w:b/>
              <w:bCs/>
              <w:color w:val="000000" w:themeColor="text1"/>
              <w:sz w:val="22"/>
              <w:szCs w:val="22"/>
              <w:rtl/>
            </w:rPr>
            <w:t>إجراء مكافحة الرشوة والفساد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