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process describes the method for determining the context of the organization, including internal and external issues, interested parties and their expectations, and the risks and opportunities of Eroglu Knitting (EMS).</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EMS/OHS/R04: </w:t>
      </w:r>
      <w:r>
        <w:rPr>
          <w:rFonts w:ascii="Calibri" w:hAnsi="Calibri" w:cs="Arial"/>
          <w:sz w:val="24"/>
          <w:szCs w:val="24"/>
        </w:rPr>
        <w:t xml:space="preserve">Compliance Obligations Register</w:t>
      </w:r>
    </w:p>
    <w:p>
      <w:pPr>
        <w:pStyle w:val="ListeParagraf"/>
        <w:spacing w:before="120" w:after="60"/>
        <w:ind w:left="709" w:right="0"/>
      </w:pPr>
      <w:r>
        <w:rPr>
          <w:rFonts w:ascii="Calibri" w:hAnsi="Calibri" w:cs="Arial"/>
          <w:b/>
          <w:bCs/>
          <w:sz w:val="24"/>
          <w:szCs w:val="24"/>
        </w:rPr>
        <w:t xml:space="preserve">3. RESPONSIBILITIES</w:t>
      </w:r>
    </w:p>
    <w:p>
      <w:pPr>
        <w:pStyle w:val="ListeParagraf"/>
        <w:spacing w:before="80" w:after="40"/>
        <w:ind w:left="709" w:right="0"/>
      </w:pPr>
      <w:r>
        <w:rPr>
          <w:rFonts w:ascii="Calibri" w:hAnsi="Calibri" w:cs="Arial"/>
          <w:b/>
          <w:bCs/>
          <w:sz w:val="24"/>
          <w:szCs w:val="24"/>
        </w:rPr>
        <w:t xml:space="preserve">3.1 OHS Team</w:t>
      </w:r>
    </w:p>
    <w:p>
      <w:pPr>
        <w:pStyle w:val="ListeParagraf"/>
        <w:spacing w:after="80"/>
        <w:ind w:left="709" w:right="0"/>
        <w:jc w:val="both"/>
      </w:pPr>
      <w:r>
        <w:rPr>
          <w:rFonts w:ascii="Calibri" w:hAnsi="Calibri" w:cs="Arial"/>
          <w:sz w:val="24"/>
          <w:szCs w:val="24"/>
        </w:rPr>
        <w:t xml:space="preserve">The OHS Team identifies the internal and external issues, interested parties and their expectations, and the risks and opportunities of the organization that are relevant to its purpose and that affect its ability to achieve the intended outcomes of the OHS Management System (OHSMS).</w:t>
      </w:r>
    </w:p>
    <w:p>
      <w:pPr>
        <w:pStyle w:val="ListeParagraf"/>
        <w:spacing w:after="80"/>
        <w:ind w:left="709" w:right="0"/>
        <w:jc w:val="both"/>
      </w:pPr>
      <w:r>
        <w:rPr>
          <w:rFonts w:ascii="Calibri" w:hAnsi="Calibri" w:cs="Arial"/>
          <w:sz w:val="24"/>
          <w:szCs w:val="24"/>
        </w:rPr>
        <w:t xml:space="preserve">The members of the OHS Team prepare and maintain the list of interested parties and the risks and opportunities related to occupational health and safety aspects, compliance obligations, and related issues.</w:t>
      </w:r>
    </w:p>
    <w:p>
      <w:pPr>
        <w:pStyle w:val="ListeParagraf"/>
        <w:spacing w:before="80" w:after="40"/>
        <w:ind w:left="709" w:right="0"/>
      </w:pPr>
      <w:r>
        <w:rPr>
          <w:rFonts w:ascii="Calibri" w:hAnsi="Calibri" w:cs="Arial"/>
          <w:b/>
          <w:bCs/>
          <w:sz w:val="24"/>
          <w:szCs w:val="24"/>
        </w:rPr>
        <w:t xml:space="preserve">3.2 Management Representative (MR)</w:t>
      </w:r>
    </w:p>
    <w:p>
      <w:pPr>
        <w:pStyle w:val="ListeParagraf"/>
        <w:spacing w:after="80"/>
        <w:ind w:left="709" w:right="0"/>
        <w:jc w:val="both"/>
      </w:pPr>
      <w:r>
        <w:rPr>
          <w:rFonts w:ascii="Calibri" w:hAnsi="Calibri" w:cs="Arial"/>
          <w:sz w:val="24"/>
          <w:szCs w:val="24"/>
        </w:rPr>
        <w:t xml:space="preserve">The MR reviews and approves the List of Interested Parties with their needs and expectations, and the risks and opportunities.</w:t>
      </w:r>
    </w:p>
    <w:p>
      <w:pPr>
        <w:pStyle w:val="ListeParagraf"/>
        <w:spacing w:before="120" w:after="60"/>
        <w:ind w:left="709" w:right="0"/>
      </w:pPr>
      <w:r>
        <w:rPr>
          <w:rFonts w:ascii="Calibri" w:hAnsi="Calibri" w:cs="Arial"/>
          <w:b/>
          <w:bCs/>
          <w:sz w:val="24"/>
          <w:szCs w:val="24"/>
        </w:rPr>
        <w:t xml:space="preserve">4. PROCESS</w:t>
      </w:r>
    </w:p>
    <w:p>
      <w:pPr>
        <w:pStyle w:val="ListeParagraf"/>
        <w:spacing w:before="80" w:after="40"/>
        <w:ind w:left="709" w:right="0"/>
      </w:pPr>
      <w:r>
        <w:rPr>
          <w:rFonts w:ascii="Calibri" w:hAnsi="Calibri" w:cs="Arial"/>
          <w:b/>
          <w:bCs/>
          <w:sz w:val="24"/>
          <w:szCs w:val="24"/>
        </w:rPr>
        <w:t xml:space="preserve">4.1 Basis for determining the organizational context and risks and opportunities</w:t>
      </w:r>
    </w:p>
    <w:p>
      <w:pPr>
        <w:pStyle w:val="ListeParagraf"/>
        <w:spacing w:after="80"/>
        <w:ind w:left="709" w:right="0"/>
        <w:jc w:val="both"/>
      </w:pPr>
      <w:r>
        <w:rPr>
          <w:rFonts w:ascii="Calibri" w:hAnsi="Calibri" w:cs="Arial"/>
          <w:sz w:val="24"/>
          <w:szCs w:val="24"/>
        </w:rPr>
        <w:t xml:space="preserve">External and internal issues and requirements that can impact the planning of OHS, and that can affect the ability to achieve the intended outcomes of the Occupational Health and Safety Management System, are considered.</w:t>
      </w:r>
    </w:p>
    <w:p>
      <w:pPr>
        <w:pStyle w:val="ListeParagraf"/>
        <w:spacing w:before="80" w:after="40"/>
        <w:ind w:left="709" w:right="0"/>
      </w:pPr>
      <w:r>
        <w:rPr>
          <w:rFonts w:ascii="Calibri" w:hAnsi="Calibri" w:cs="Arial"/>
          <w:b/>
          <w:bCs/>
          <w:sz w:val="24"/>
          <w:szCs w:val="24"/>
        </w:rPr>
        <w:t xml:space="preserve">4.2 Determining internal and external issues</w:t>
      </w:r>
    </w:p>
    <w:p>
      <w:pPr>
        <w:pStyle w:val="ListeParagraf"/>
        <w:spacing w:after="80"/>
        <w:ind w:left="709" w:right="0"/>
        <w:jc w:val="both"/>
      </w:pPr>
      <w:r>
        <w:rPr>
          <w:rFonts w:ascii="Calibri" w:hAnsi="Calibri" w:cs="Arial"/>
          <w:sz w:val="24"/>
          <w:szCs w:val="24"/>
        </w:rPr>
        <w:t xml:space="preserve">Issues related to the values, culture, knowledge, and performance of EMS are identified to understand the internal context. Issues related to the legal, technological, competitive, market, cultural, social, and economic environments, in international, national, regional, and local settings, are considered to understand the external context. EMS determines its internal and external issues that are relevant to its purpose and that affect its ability to achieve the intended outcomes of the OHSMS. These issues are included in the List of Internal and External Issues of the Organization and Needs and Expectations of Interested Parties (EMS/OHS/R01).</w:t>
      </w:r>
    </w:p>
    <w:p>
      <w:pPr>
        <w:pStyle w:val="ListeParagraf"/>
        <w:spacing w:before="80" w:after="40"/>
        <w:ind w:left="709" w:right="0"/>
      </w:pPr>
      <w:r>
        <w:rPr>
          <w:rFonts w:ascii="Calibri" w:hAnsi="Calibri" w:cs="Arial"/>
          <w:b/>
          <w:bCs/>
          <w:sz w:val="24"/>
          <w:szCs w:val="24"/>
        </w:rPr>
        <w:t xml:space="preserve">4.3 Identification of interested parties</w:t>
      </w:r>
    </w:p>
    <w:p>
      <w:pPr>
        <w:pStyle w:val="ListeParagraf"/>
        <w:spacing w:after="80"/>
        <w:ind w:left="709" w:right="0"/>
        <w:jc w:val="both"/>
      </w:pPr>
      <w:r>
        <w:rPr>
          <w:rFonts w:ascii="Calibri" w:hAnsi="Calibri" w:cs="Arial"/>
          <w:sz w:val="24"/>
          <w:szCs w:val="24"/>
        </w:rPr>
        <w:t xml:space="preserve">An interested party is a person or organization that can affect, be affected by, or perceive itself to be affected by a decision or activity within the scope of the OHS Management System. Interested parties are determined by identifying the relevant interested parties and their needs and expectations. When there is a new project, the interested parties specific to that project are identified and recorded separately.</w:t>
      </w:r>
    </w:p>
    <w:p>
      <w:pPr>
        <w:pStyle w:val="ListeParagraf"/>
        <w:spacing w:before="80" w:after="40"/>
        <w:ind w:left="709" w:right="0"/>
      </w:pPr>
      <w:r>
        <w:rPr>
          <w:rFonts w:ascii="Calibri" w:hAnsi="Calibri" w:cs="Arial"/>
          <w:b/>
          <w:bCs/>
          <w:sz w:val="24"/>
          <w:szCs w:val="24"/>
        </w:rPr>
        <w:t xml:space="preserve">4.4 Identification of risks and opportunities</w:t>
      </w:r>
    </w:p>
    <w:p>
      <w:pPr>
        <w:pStyle w:val="ListeParagraf"/>
        <w:spacing w:after="80"/>
        <w:ind w:left="709" w:right="0"/>
        <w:jc w:val="both"/>
      </w:pPr>
      <w:r>
        <w:rPr>
          <w:rFonts w:ascii="Calibri" w:hAnsi="Calibri" w:cs="Arial"/>
          <w:sz w:val="24"/>
          <w:szCs w:val="24"/>
        </w:rPr>
        <w:t xml:space="preserve">EMS identifies its risks and opportunities related to occupational health and safety aspects, compliance obligations, and the issues of the company. These are maintained as a document and updated regularly.</w:t>
      </w:r>
    </w:p>
    <w:p>
      <w:pPr>
        <w:pStyle w:val="ListeParagraf"/>
        <w:spacing w:before="80" w:after="40"/>
        <w:ind w:left="709" w:right="0"/>
      </w:pPr>
      <w:r>
        <w:rPr>
          <w:rFonts w:ascii="Calibri" w:hAnsi="Calibri" w:cs="Arial"/>
          <w:b/>
          <w:bCs/>
          <w:sz w:val="24"/>
          <w:szCs w:val="24"/>
        </w:rPr>
        <w:t xml:space="preserve">4.5 Understanding the needs and expectations of workers and other interested parties</w:t>
      </w:r>
    </w:p>
    <w:p>
      <w:pPr>
        <w:pStyle w:val="ListeParagraf"/>
        <w:spacing w:after="80"/>
        <w:ind w:left="709" w:right="0"/>
        <w:jc w:val="both"/>
      </w:pPr>
      <w:r>
        <w:rPr>
          <w:rFonts w:ascii="Calibri" w:hAnsi="Calibri" w:cs="Arial"/>
          <w:sz w:val="24"/>
          <w:szCs w:val="24"/>
        </w:rPr>
        <w:t xml:space="preserve">The management of EMS is always committed to fulfilling the needs and expectations of all interested parties. The organization consults interested parties in the following situations to identify their needs and expectations regarding occupational health and safety performance: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Brainstorming sessions including all levels of management and employees, including main contractors and suppliers.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Periodic customer surveys, and supplier and contractor evaluations.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Periodic meetings and discussions with legal authorities and government institutions, organized by the relevant stakeholders within the organization.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Participation in open seminars and workshops conducted by various institutions.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Reviewing new legislation issued by the authorities.</w:t>
      </w:r>
    </w:p>
    <w:p>
      <w:pPr>
        <w:pStyle w:val="ListeParagraf"/>
        <w:spacing w:after="80"/>
        <w:ind w:left="709" w:right="0"/>
        <w:jc w:val="both"/>
      </w:pPr>
      <w:r>
        <w:rPr>
          <w:rFonts w:ascii="Calibri" w:hAnsi="Calibri" w:cs="Arial"/>
          <w:sz w:val="24"/>
          <w:szCs w:val="24"/>
        </w:rPr>
        <w:t xml:space="preserve">All needs and expectations identified in the above forums are updated, as appropriate, in the Risks and Opportunities, Interested Parties and Issues Register (EMS/OHS/R02).</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EMS/OHS/R01: </w:t>
      </w:r>
      <w:r>
        <w:rPr>
          <w:rFonts w:ascii="Calibri" w:hAnsi="Calibri" w:cs="Arial"/>
          <w:sz w:val="24"/>
          <w:szCs w:val="24"/>
        </w:rPr>
        <w:t xml:space="preserve">List of Internal and External Issues of the Organization and Needs and Expectations of Interested Parties; Retention responsibility: MR; Minimum retention time: Revise and maintain.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EMS/OHS/R02: </w:t>
      </w:r>
      <w:r>
        <w:rPr>
          <w:rFonts w:ascii="Calibri" w:hAnsi="Calibri" w:cs="Arial"/>
          <w:sz w:val="24"/>
          <w:szCs w:val="24"/>
        </w:rPr>
        <w:t xml:space="preserve">Risks and Opportunities, Interested Parties and Issues Register; Retention responsibility: MR; Minimum retention time: Revise and maintain.</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تصف هذه العملية طريقة تحديد سياق المؤسسة، بما في ذلك القضايا الداخلية والخارجية، والأطراف المعنية وتوقعاتها، والمخاطر والفرص الخاصة بإيروغلو للتريكو (EMS).</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EMS/OHS/R04: </w:t>
      </w:r>
      <w:r>
        <w:rPr>
          <w:rFonts w:ascii="Calibri" w:hAnsi="Calibri" w:cs="Arial"/>
          <w:rtl/>
          <w:sz w:val="24"/>
          <w:szCs w:val="24"/>
        </w:rPr>
        <w:t xml:space="preserve">سجل الالتزامات القانونية والامتثال</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before="80" w:after="40"/>
        <w:ind w:left="0" w:right="709"/>
      </w:pPr>
      <w:r>
        <w:rPr>
          <w:rFonts w:ascii="Calibri" w:hAnsi="Calibri" w:cs="Arial"/>
          <w:b/>
          <w:bCs/>
          <w:rtl/>
          <w:sz w:val="24"/>
          <w:szCs w:val="24"/>
        </w:rPr>
        <w:t xml:space="preserve">3.1 فريق السلامة والصحة المهنية</w:t>
      </w:r>
    </w:p>
    <w:p>
      <w:pPr>
        <w:pStyle w:val="ListeParagraf"/>
        <w:bidi/>
        <w:spacing w:after="80"/>
        <w:ind w:left="0" w:right="709"/>
        <w:jc w:val="both"/>
      </w:pPr>
      <w:r>
        <w:rPr>
          <w:rFonts w:ascii="Calibri" w:hAnsi="Calibri" w:cs="Arial"/>
          <w:rtl/>
          <w:sz w:val="24"/>
          <w:szCs w:val="24"/>
        </w:rPr>
        <w:t xml:space="preserve">يحدد فريق السلامة والصحة المهنية القضايا الداخلية والخارجية، والأطراف المعنية وتوقعاتها، والمخاطر والفرص الخاصة بالمؤسسة ذات الصلة بغرضها والتي تؤثر على قدرتها على تحقيق النتائج المرجوة لنظام إدارة السلامة والصحة المهنية.</w:t>
      </w:r>
    </w:p>
    <w:p>
      <w:pPr>
        <w:pStyle w:val="ListeParagraf"/>
        <w:bidi/>
        <w:spacing w:after="80"/>
        <w:ind w:left="0" w:right="709"/>
        <w:jc w:val="both"/>
      </w:pPr>
      <w:r>
        <w:rPr>
          <w:rFonts w:ascii="Calibri" w:hAnsi="Calibri" w:cs="Arial"/>
          <w:rtl/>
          <w:sz w:val="24"/>
          <w:szCs w:val="24"/>
        </w:rPr>
        <w:t xml:space="preserve">يُعدّ أعضاء فريق السلامة والصحة المهنية قائمة الأطراف المعنية والمخاطر والفرص المتعلقة بجوانب السلامة والصحة المهنية والالتزامات القانونية والقضايا المرتبطة بها، ويحافظون عليها.</w:t>
      </w:r>
    </w:p>
    <w:p>
      <w:pPr>
        <w:pStyle w:val="ListeParagraf"/>
        <w:bidi/>
        <w:spacing w:before="80" w:after="40"/>
        <w:ind w:left="0" w:right="709"/>
      </w:pPr>
      <w:r>
        <w:rPr>
          <w:rFonts w:ascii="Calibri" w:hAnsi="Calibri" w:cs="Arial"/>
          <w:b/>
          <w:bCs/>
          <w:rtl/>
          <w:sz w:val="24"/>
          <w:szCs w:val="24"/>
        </w:rPr>
        <w:t xml:space="preserve">3.2 ممثل الإدارة (MR)</w:t>
      </w:r>
    </w:p>
    <w:p>
      <w:pPr>
        <w:pStyle w:val="ListeParagraf"/>
        <w:bidi/>
        <w:spacing w:after="80"/>
        <w:ind w:left="0" w:right="709"/>
        <w:jc w:val="both"/>
      </w:pPr>
      <w:r>
        <w:rPr>
          <w:rFonts w:ascii="Calibri" w:hAnsi="Calibri" w:cs="Arial"/>
          <w:rtl/>
          <w:sz w:val="24"/>
          <w:szCs w:val="24"/>
        </w:rPr>
        <w:t xml:space="preserve">يراجع ممثل الإدارة قائمة الأطراف المعنية مع احتياجاتها وتوقعاتها، والمخاطر والفرص، ويعتمدها.</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before="80" w:after="40"/>
        <w:ind w:left="0" w:right="709"/>
      </w:pPr>
      <w:r>
        <w:rPr>
          <w:rFonts w:ascii="Calibri" w:hAnsi="Calibri" w:cs="Arial"/>
          <w:b/>
          <w:bCs/>
          <w:rtl/>
          <w:sz w:val="24"/>
          <w:szCs w:val="24"/>
        </w:rPr>
        <w:t xml:space="preserve">4.1 أساس تحديد سياق المؤسسة والمخاطر والفرص</w:t>
      </w:r>
    </w:p>
    <w:p>
      <w:pPr>
        <w:pStyle w:val="ListeParagraf"/>
        <w:bidi/>
        <w:spacing w:after="80"/>
        <w:ind w:left="0" w:right="709"/>
        <w:jc w:val="both"/>
      </w:pPr>
      <w:r>
        <w:rPr>
          <w:rFonts w:ascii="Calibri" w:hAnsi="Calibri" w:cs="Arial"/>
          <w:rtl/>
          <w:sz w:val="24"/>
          <w:szCs w:val="24"/>
        </w:rPr>
        <w:t xml:space="preserve">تؤخذ في الاعتبار القضايا والمتطلبات الخارجية والداخلية التي يمكن أن تؤثر على تخطيط السلامة والصحة المهنية، والتي يمكن أن تؤثر على القدرة على تحقيق النتائج المرجوة لنظام إدارة السلامة والصحة المهنية.</w:t>
      </w:r>
    </w:p>
    <w:p>
      <w:pPr>
        <w:pStyle w:val="ListeParagraf"/>
        <w:bidi/>
        <w:spacing w:before="80" w:after="40"/>
        <w:ind w:left="0" w:right="709"/>
      </w:pPr>
      <w:r>
        <w:rPr>
          <w:rFonts w:ascii="Calibri" w:hAnsi="Calibri" w:cs="Arial"/>
          <w:b/>
          <w:bCs/>
          <w:rtl/>
          <w:sz w:val="24"/>
          <w:szCs w:val="24"/>
        </w:rPr>
        <w:t xml:space="preserve">4.2 تحديد القضايا الداخلية والخارجية</w:t>
      </w:r>
    </w:p>
    <w:p>
      <w:pPr>
        <w:pStyle w:val="ListeParagraf"/>
        <w:bidi/>
        <w:spacing w:after="80"/>
        <w:ind w:left="0" w:right="709"/>
        <w:jc w:val="both"/>
      </w:pPr>
      <w:r>
        <w:rPr>
          <w:rFonts w:ascii="Calibri" w:hAnsi="Calibri" w:cs="Arial"/>
          <w:rtl/>
          <w:sz w:val="24"/>
          <w:szCs w:val="24"/>
        </w:rPr>
        <w:t xml:space="preserve">تُحدَّد القضايا المتعلقة بقيم EMS وثقافتها ومعارفها وأدائها لفهم السياق الداخلي. وتؤخذ في الاعتبار القضايا المتعلقة بالبيئات القانونية والتكنولوجية والتنافسية والسوقية والثقافية والاجتماعية والاقتصادية، على المستويات الدولية والوطنية والإقليمية والمحلية، لفهم السياق الخارجي. وتحدد EMS قضاياها الداخلية والخارجية ذات الصلة بغرضها والتي تؤثر على قدرتها على تحقيق النتائج المرجوة لنظام إدارة السلامة والصحة المهنية. وتُدرج هذه القضايا في قائمة القضايا الداخلية والخارجية للمؤسسة واحتياجات وتوقعات الأطراف المعنية (EMS/OHS/R01).</w:t>
      </w:r>
    </w:p>
    <w:p>
      <w:pPr>
        <w:pStyle w:val="ListeParagraf"/>
        <w:bidi/>
        <w:spacing w:before="80" w:after="40"/>
        <w:ind w:left="0" w:right="709"/>
      </w:pPr>
      <w:r>
        <w:rPr>
          <w:rFonts w:ascii="Calibri" w:hAnsi="Calibri" w:cs="Arial"/>
          <w:b/>
          <w:bCs/>
          <w:rtl/>
          <w:sz w:val="24"/>
          <w:szCs w:val="24"/>
        </w:rPr>
        <w:t xml:space="preserve">4.3 تحديد الأطراف المعنية</w:t>
      </w:r>
    </w:p>
    <w:p>
      <w:pPr>
        <w:pStyle w:val="ListeParagraf"/>
        <w:bidi/>
        <w:spacing w:after="80"/>
        <w:ind w:left="0" w:right="709"/>
        <w:jc w:val="both"/>
      </w:pPr>
      <w:r>
        <w:rPr>
          <w:rFonts w:ascii="Calibri" w:hAnsi="Calibri" w:cs="Arial"/>
          <w:rtl/>
          <w:sz w:val="24"/>
          <w:szCs w:val="24"/>
        </w:rPr>
        <w:t xml:space="preserve">الطرف المعني هو شخص أو جهة يمكن أن يؤثر على قرار أو نشاط يقع ضمن نطاق نظام إدارة السلامة والصحة المهنية، أو يتأثر به، أو يرى أنه متأثر به. ويتم تحديد الأطراف المعنية ذات الصلة واحتياجاتها وتوقعاتها. وعند وجود مشروع جديد، تُحدَّد الأطراف المعنية الخاصة بذلك المشروع وتُسجَّل بشكل منفصل.</w:t>
      </w:r>
    </w:p>
    <w:p>
      <w:pPr>
        <w:pStyle w:val="ListeParagraf"/>
        <w:bidi/>
        <w:spacing w:before="80" w:after="40"/>
        <w:ind w:left="0" w:right="709"/>
      </w:pPr>
      <w:r>
        <w:rPr>
          <w:rFonts w:ascii="Calibri" w:hAnsi="Calibri" w:cs="Arial"/>
          <w:b/>
          <w:bCs/>
          <w:rtl/>
          <w:sz w:val="24"/>
          <w:szCs w:val="24"/>
        </w:rPr>
        <w:t xml:space="preserve">4.4 تحديد المخاطر والفرص</w:t>
      </w:r>
    </w:p>
    <w:p>
      <w:pPr>
        <w:pStyle w:val="ListeParagraf"/>
        <w:bidi/>
        <w:spacing w:after="80"/>
        <w:ind w:left="0" w:right="709"/>
        <w:jc w:val="both"/>
      </w:pPr>
      <w:r>
        <w:rPr>
          <w:rFonts w:ascii="Calibri" w:hAnsi="Calibri" w:cs="Arial"/>
          <w:rtl/>
          <w:sz w:val="24"/>
          <w:szCs w:val="24"/>
        </w:rPr>
        <w:t xml:space="preserve">تحدد EMS مخاطرها وفرصها المتعلقة بجوانب السلامة والصحة المهنية والالتزامات القانونية وقضايا الشركة. ويُحتفَظ بها في وثيقة تُحدَّث بانتظام.</w:t>
      </w:r>
    </w:p>
    <w:p>
      <w:pPr>
        <w:pStyle w:val="ListeParagraf"/>
        <w:bidi/>
        <w:spacing w:before="80" w:after="40"/>
        <w:ind w:left="0" w:right="709"/>
      </w:pPr>
      <w:r>
        <w:rPr>
          <w:rFonts w:ascii="Calibri" w:hAnsi="Calibri" w:cs="Arial"/>
          <w:b/>
          <w:bCs/>
          <w:rtl/>
          <w:sz w:val="24"/>
          <w:szCs w:val="24"/>
        </w:rPr>
        <w:t xml:space="preserve">4.5 فهم احتياجات وتوقعات العاملين والأطراف المعنية الأخرى</w:t>
      </w:r>
    </w:p>
    <w:p>
      <w:pPr>
        <w:pStyle w:val="ListeParagraf"/>
        <w:bidi/>
        <w:spacing w:after="80"/>
        <w:ind w:left="0" w:right="709"/>
        <w:jc w:val="both"/>
      </w:pPr>
      <w:r>
        <w:rPr>
          <w:rFonts w:ascii="Calibri" w:hAnsi="Calibri" w:cs="Arial"/>
          <w:rtl/>
          <w:sz w:val="24"/>
          <w:szCs w:val="24"/>
        </w:rPr>
        <w:t xml:space="preserve">تلتزم إدارة EMS دائمًا بتلبية احتياجات وتوقعات جميع الأطراف المعنية. وتتشاور المؤسسة مع الأطراف المعنية في الحالات التالية لتحديد احتياجاتها وتوقعاتها فيما يتعلق بأداء السلامة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جلسات العصف الذهني التي تشمل جميع المستويات الإدارية والموظفين، بما في ذلك المقاولون الرئيسيون والموردون.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استطلاعات العملاء الدورية، وتقييمات الموردين والمقاولين.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الاجتماعات والمناقشات الدورية مع الجهات القانونية والمؤسسات الحكومية، التي تنظمها الأطراف المعنية ذات الصلة داخل المؤسسة.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المشاركة في الندوات وورش العمل المفتوحة التي تنظمها مؤسسات مختلفة.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مراجعة التشريعات الجديدة الصادرة عن الجهات المختصة.</w:t>
      </w:r>
    </w:p>
    <w:p>
      <w:pPr>
        <w:pStyle w:val="ListeParagraf"/>
        <w:bidi/>
        <w:spacing w:after="80"/>
        <w:ind w:left="0" w:right="709"/>
        <w:jc w:val="both"/>
      </w:pPr>
      <w:r>
        <w:rPr>
          <w:rFonts w:ascii="Calibri" w:hAnsi="Calibri" w:cs="Arial"/>
          <w:rtl/>
          <w:sz w:val="24"/>
          <w:szCs w:val="24"/>
        </w:rPr>
        <w:t xml:space="preserve">تُحدَّث جميع الاحتياجات والتوقعات التي يتم تحديدها في المنتديات المذكورة أعلاه، حسب الاقتضاء، في سجل المخاطر والفرص والأطراف المعنية والقضايا (EMS/OHS/R02).</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EMS/OHS/R01: </w:t>
      </w:r>
      <w:r>
        <w:rPr>
          <w:rFonts w:ascii="Calibri" w:hAnsi="Calibri" w:cs="Arial"/>
          <w:rtl/>
          <w:sz w:val="24"/>
          <w:szCs w:val="24"/>
        </w:rPr>
        <w:t xml:space="preserve">قائمة القضايا الداخلية والخارجية للمؤسسة واحتياجات وتوقعات الأطراف المعنية؛ مسؤولية الحفظ: ممثل الإدارة؛ الحد الأدنى لمدة الحفظ: تُراجَع ويُحتفَظ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EMS/OHS/R02: </w:t>
      </w:r>
      <w:r>
        <w:rPr>
          <w:rFonts w:ascii="Calibri" w:hAnsi="Calibri" w:cs="Arial"/>
          <w:rtl/>
          <w:sz w:val="24"/>
          <w:szCs w:val="24"/>
        </w:rPr>
        <w:t xml:space="preserve">سجل المخاطر والفرص والأطراف المعنية والقضايا؛ مسؤولية الحفظ: ممثل الإدارة؛ الحد الأدنى لمدة الحفظ: يُراجَع ويُحتفَظ به.</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PROCEDURE FOR DETERMINING THE CONTEXT OF THE ORGANIZATION, RISKS AND OPPORTUNITIES</w:t>
          </w:r>
        </w:p>
        <w:p>
          <w:pPr>
            <w:pStyle w:val="GvdeMetni2"/>
            <w:bidi/>
            <w:spacing w:line="276" w:lineRule="auto"/>
            <w:jc w:val="center"/>
          </w:pPr>
          <w:r>
            <w:rPr>
              <w:rFonts w:asciiTheme="minorHAnsi" w:hAnsiTheme="minorHAnsi" w:cs="Arial"/>
              <w:b/>
              <w:bCs/>
              <w:color w:val="000000" w:themeColor="text1"/>
              <w:sz w:val="22"/>
              <w:szCs w:val="22"/>
              <w:rtl/>
            </w:rPr>
            <w:t>إجراء تحديد سياق المؤسسة والمخاطر والفرص</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