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To establish standardized and safe steps for operating, handling and maintaining firefighting equipment within the facility, ensuring rapid containment of initial fires and minimizing risks to lives and assets pursuant to ISO 45001:2018.</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all fixed and portable firefighting equipment, fire hose cabinets and networks across all facility departments, warehouses and related utilities.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HSE Manager/Engineer: </w:t>
      </w:r>
      <w:r>
        <w:rPr>
          <w:rFonts w:ascii="Calibri" w:hAnsi="Calibri" w:cs="Arial"/>
          <w:sz w:val="24"/>
          <w:szCs w:val="24"/>
        </w:rPr>
        <w:t xml:space="preserve">Supervises procedure implementation, coordinates periodic inspections, and trains emergency teams and personnel.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Firefighting and Emergency Response Team: </w:t>
      </w:r>
      <w:r>
        <w:rPr>
          <w:rFonts w:ascii="Calibri" w:hAnsi="Calibri" w:cs="Arial"/>
          <w:sz w:val="24"/>
          <w:szCs w:val="24"/>
        </w:rPr>
        <w:t xml:space="preserve">Responds immediately and handles firefighting equipment directly during emergencies.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Team: </w:t>
      </w:r>
      <w:r>
        <w:rPr>
          <w:rFonts w:ascii="Calibri" w:hAnsi="Calibri" w:cs="Arial"/>
          <w:sz w:val="24"/>
          <w:szCs w:val="24"/>
        </w:rPr>
        <w:t xml:space="preserve">Monitors network pressure, generators and fire pumps, resolving any faults promptly.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 </w:t>
      </w:r>
      <w:r>
        <w:rPr>
          <w:rFonts w:ascii="Calibri" w:hAnsi="Calibri" w:cs="Arial"/>
          <w:sz w:val="24"/>
          <w:szCs w:val="24"/>
        </w:rPr>
        <w:t xml:space="preserve">Immediately report any fire incident or damage to firefighting equipment.</w:t>
      </w:r>
    </w:p>
    <w:p>
      <w:pPr>
        <w:pStyle w:val="ListeParagraf"/>
        <w:spacing w:before="120" w:after="60"/>
        <w:ind w:left="709" w:right="0"/>
      </w:pPr>
      <w:r>
        <w:rPr>
          <w:rFonts w:ascii="Calibri" w:hAnsi="Calibri" w:cs="Arial"/>
          <w:b/>
          <w:bCs/>
          <w:sz w:val="24"/>
          <w:szCs w:val="24"/>
        </w:rPr>
        <w:t xml:space="preserve">4. OPERATIONAL STEPS AND GUIDELINES</w:t>
      </w:r>
    </w:p>
    <w:p>
      <w:pPr>
        <w:pStyle w:val="ListeParagraf"/>
        <w:spacing w:before="80" w:after="40"/>
        <w:ind w:left="709" w:right="0"/>
      </w:pPr>
      <w:r>
        <w:rPr>
          <w:rFonts w:ascii="Calibri" w:hAnsi="Calibri" w:cs="Arial"/>
          <w:b/>
          <w:bCs/>
          <w:sz w:val="24"/>
          <w:szCs w:val="24"/>
        </w:rPr>
        <w:t xml:space="preserve">4.1 Portable Fire Extinguishers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Situation Assessment: </w:t>
      </w:r>
      <w:r>
        <w:rPr>
          <w:rFonts w:ascii="Calibri" w:hAnsi="Calibri" w:cs="Arial"/>
          <w:sz w:val="24"/>
          <w:szCs w:val="24"/>
        </w:rPr>
        <w:t xml:space="preserve">Portable extinguishers are used only for incipient-stage fires. If the fire expands, evacuate immediately.</w:t>
      </w:r>
    </w:p>
    <w:p>
      <w:pPr>
        <w:pStyle w:val="ListeParagraf"/>
        <w:spacing w:after="80"/>
        <w:ind w:left="709" w:right="0"/>
        <w:jc w:val="both"/>
      </w:pPr>
      <w:r>
        <w:rPr>
          <w:rFonts w:ascii="Calibri" w:hAnsi="Calibri" w:cs="Arial"/>
          <w:sz w:val="24"/>
          <w:szCs w:val="24"/>
        </w:rPr>
        <w:t xml:space="preserve">Standard operating method (PASS technique):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 (Pull): </w:t>
      </w:r>
      <w:r>
        <w:rPr>
          <w:rFonts w:ascii="Calibri" w:hAnsi="Calibri" w:cs="Arial"/>
          <w:sz w:val="24"/>
          <w:szCs w:val="24"/>
        </w:rPr>
        <w:t xml:space="preserve">Pull the safety pin.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 (Aim): </w:t>
      </w:r>
      <w:r>
        <w:rPr>
          <w:rFonts w:ascii="Calibri" w:hAnsi="Calibri" w:cs="Arial"/>
          <w:sz w:val="24"/>
          <w:szCs w:val="24"/>
        </w:rPr>
        <w:t xml:space="preserve">Aim the nozzle at the base of the fire, not the flames.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 (Squeeze): </w:t>
      </w:r>
      <w:r>
        <w:rPr>
          <w:rFonts w:ascii="Calibri" w:hAnsi="Calibri" w:cs="Arial"/>
          <w:sz w:val="24"/>
          <w:szCs w:val="24"/>
        </w:rPr>
        <w:t xml:space="preserve">Squeeze the handle to discharge the extinguishing agent.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 (Sweep): </w:t>
      </w:r>
      <w:r>
        <w:rPr>
          <w:rFonts w:ascii="Calibri" w:hAnsi="Calibri" w:cs="Arial"/>
          <w:sz w:val="24"/>
          <w:szCs w:val="24"/>
        </w:rPr>
        <w:t xml:space="preserve">Sweep side to side horizontally until the fire is extinguished.</w:t>
      </w:r>
    </w:p>
    <w:p>
      <w:pPr>
        <w:pStyle w:val="ListeParagraf"/>
        <w:spacing w:after="80"/>
        <w:ind w:left="709" w:right="0"/>
        <w:jc w:val="both"/>
      </w:pPr>
      <w:r>
        <w:rPr>
          <w:rFonts w:ascii="Calibri" w:hAnsi="Calibri" w:cs="Arial"/>
          <w:sz w:val="24"/>
          <w:szCs w:val="24"/>
        </w:rPr>
        <w:t xml:space="preserve">Extinguisher selection by fire class: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Dry Chemical Powder (ABC): </w:t>
      </w:r>
      <w:r>
        <w:rPr>
          <w:rFonts w:ascii="Calibri" w:hAnsi="Calibri" w:cs="Arial"/>
          <w:sz w:val="24"/>
          <w:szCs w:val="24"/>
        </w:rPr>
        <w:t xml:space="preserve">For solids, flammable liquids, gases and electrical fires.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Carbon Dioxide (CO2): </w:t>
      </w:r>
      <w:r>
        <w:rPr>
          <w:rFonts w:ascii="Calibri" w:hAnsi="Calibri" w:cs="Arial"/>
          <w:sz w:val="24"/>
          <w:szCs w:val="24"/>
        </w:rPr>
        <w:t xml:space="preserve">For electrical equipment and control panels.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Foam: </w:t>
      </w:r>
      <w:r>
        <w:rPr>
          <w:rFonts w:ascii="Calibri" w:hAnsi="Calibri" w:cs="Arial"/>
          <w:sz w:val="24"/>
          <w:szCs w:val="24"/>
        </w:rPr>
        <w:t xml:space="preserve">For flammable liquids (prohibited for live electrical equipment).</w:t>
      </w:r>
    </w:p>
    <w:p>
      <w:pPr>
        <w:pStyle w:val="ListeParagraf"/>
        <w:spacing w:before="80" w:after="40"/>
        <w:ind w:left="709" w:right="0"/>
      </w:pPr>
      <w:r>
        <w:rPr>
          <w:rFonts w:ascii="Calibri" w:hAnsi="Calibri" w:cs="Arial"/>
          <w:b/>
          <w:bCs/>
          <w:sz w:val="24"/>
          <w:szCs w:val="24"/>
        </w:rPr>
        <w:t xml:space="preserve">4.2 Fire Hose Cabinets (FHC)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Access: </w:t>
      </w:r>
      <w:r>
        <w:rPr>
          <w:rFonts w:ascii="Calibri" w:hAnsi="Calibri" w:cs="Arial"/>
          <w:sz w:val="24"/>
          <w:szCs w:val="24"/>
        </w:rPr>
        <w:t xml:space="preserve">Open the cabinet door and pull out the hose/reel.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Deployment: </w:t>
      </w:r>
      <w:r>
        <w:rPr>
          <w:rFonts w:ascii="Calibri" w:hAnsi="Calibri" w:cs="Arial"/>
          <w:sz w:val="24"/>
          <w:szCs w:val="24"/>
        </w:rPr>
        <w:t xml:space="preserve">Unroll the hose completely toward the fire location, ensuring no kinks impede water flow.</w:t>
      </w:r>
    </w:p>
    <w:p>
      <w:pPr>
        <w:pStyle w:val="ListeParagraf"/>
        <w:spacing w:after="80"/>
        <w:ind w:left="709" w:right="0"/>
        <w:jc w:val="both"/>
      </w:pPr>
      <w:r>
        <w:rPr>
          <w:rFonts w:ascii="Calibri" w:hAnsi="Calibri" w:cs="Arial"/>
          <w:sz w:val="24"/>
          <w:szCs w:val="24"/>
        </w:rPr>
        <w:t xml:space="preserve">Connection and valve operation: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the hose is securely connected to the internal valve and nozzle.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Open the water valve completely counterclockwise.</w:t>
      </w:r>
    </w:p>
    <w:p>
      <w:pPr>
        <w:pStyle w:val="ListeParagraf"/>
        <w:spacing w:after="80"/>
        <w:ind w:left="709" w:right="0"/>
        <w:jc w:val="both"/>
      </w:pPr>
      <w:r>
        <w:rPr>
          <w:rFonts w:ascii="Calibri" w:hAnsi="Calibri" w:cs="Arial"/>
          <w:sz w:val="24"/>
          <w:szCs w:val="24"/>
        </w:rPr>
        <w:t xml:space="preserve">Operation: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 least two persons must hold the hose to control water pressure.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Adjust the nozzle pattern to spray/fog (for cooling and heat shielding) or straight stream (for direct suppression) as required.</w:t>
      </w:r>
    </w:p>
    <w:p>
      <w:pPr>
        <w:pStyle w:val="ListeParagraf"/>
        <w:spacing w:before="80" w:after="40"/>
        <w:ind w:left="709" w:right="0"/>
      </w:pPr>
      <w:r>
        <w:rPr>
          <w:rFonts w:ascii="Calibri" w:hAnsi="Calibri" w:cs="Arial"/>
          <w:b/>
          <w:bCs/>
          <w:sz w:val="24"/>
          <w:szCs w:val="24"/>
        </w:rPr>
        <w:t xml:space="preserve">4.3 Fixed Fire Suppression Systems and Pumps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Automatic Sprinkler Systems: </w:t>
      </w:r>
      <w:r>
        <w:rPr>
          <w:rFonts w:ascii="Calibri" w:hAnsi="Calibri" w:cs="Arial"/>
          <w:sz w:val="24"/>
          <w:szCs w:val="24"/>
        </w:rPr>
        <w:t xml:space="preserve">Activate automatically upon heat detection and bulb rupture. The main zone control valve must remain open and shall only be shut off by the HSE supervisor after verifying full extinguishment.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Fire Pumps: </w:t>
      </w:r>
      <w:r>
        <w:rPr>
          <w:rFonts w:ascii="Calibri" w:hAnsi="Calibri" w:cs="Arial"/>
          <w:sz w:val="24"/>
          <w:szCs w:val="24"/>
        </w:rPr>
        <w:t xml:space="preserve">Maintained permanently in Auto mode. Upon a drop in line pressure (due to hose cabinet or sprinkler activation), the pumps start automatically to supply the network.</w:t>
      </w:r>
    </w:p>
    <w:p>
      <w:pPr>
        <w:pStyle w:val="ListeParagraf"/>
        <w:spacing w:before="120" w:after="60"/>
        <w:ind w:left="709" w:right="0"/>
      </w:pPr>
      <w:r>
        <w:rPr>
          <w:rFonts w:ascii="Calibri" w:hAnsi="Calibri" w:cs="Arial"/>
          <w:b/>
          <w:bCs/>
          <w:sz w:val="24"/>
          <w:szCs w:val="24"/>
        </w:rPr>
        <w:t xml:space="preserve">5. INSPECTION, TESTING AND MAINTENANCE</w:t>
      </w:r>
    </w:p>
    <w:p>
      <w:pPr>
        <w:pStyle w:val="ListeParagraf"/>
        <w:spacing w:after="80"/>
        <w:ind w:left="709" w:right="0"/>
        <w:jc w:val="both"/>
      </w:pPr>
      <w:r>
        <w:rPr>
          <w:rFonts w:ascii="Calibri" w:hAnsi="Calibri" w:cs="Arial"/>
          <w:sz w:val="24"/>
          <w:szCs w:val="24"/>
        </w:rPr>
        <w:t xml:space="preserve">Daily/weekly inspection: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clear access around all fire cabinets and extinguishers.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Inspect pressure gauges on powder extinguishers (the pointer must be in the green zone).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Verify that safety seals and inspection tags are intact.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Test emergency eyewash stations and operate fire pumps regularly.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Monthly Inspection: </w:t>
      </w:r>
      <w:r>
        <w:rPr>
          <w:rFonts w:ascii="Calibri" w:hAnsi="Calibri" w:cs="Arial"/>
          <w:sz w:val="24"/>
          <w:szCs w:val="24"/>
        </w:rPr>
        <w:t xml:space="preserve">Record field checks for each unit in the Firefighting Equipment Inspection Log.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Annual Maintenance: </w:t>
      </w:r>
      <w:r>
        <w:rPr>
          <w:rFonts w:ascii="Calibri" w:hAnsi="Calibri" w:cs="Arial"/>
          <w:sz w:val="24"/>
          <w:szCs w:val="24"/>
        </w:rPr>
        <w:t xml:space="preserve">Conduct certified annual servicing, recharging, hose pressure testing and hydrostatic testing.</w:t>
      </w:r>
    </w:p>
    <w:p>
      <w:pPr>
        <w:pStyle w:val="ListeParagraf"/>
        <w:spacing w:before="120" w:after="60"/>
        <w:ind w:left="709" w:right="0"/>
      </w:pPr>
      <w:r>
        <w:rPr>
          <w:rFonts w:ascii="Calibri" w:hAnsi="Calibri" w:cs="Arial"/>
          <w:b/>
          <w:bCs/>
          <w:sz w:val="24"/>
          <w:szCs w:val="24"/>
        </w:rPr>
        <w:t xml:space="preserve">6. TRAINING AND AWARENESS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Conduct practical hands-on training for employees on operating portable extinguishers and fire hose cabinets.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Execute evacuation drills at least twice annually to evaluate emergency response effectiveness per ISO 45001 requirements, documenting findings and corrective action plans.</w:t>
      </w:r>
    </w:p>
    <w:p>
      <w:pPr>
        <w:pStyle w:val="ListeParagraf"/>
        <w:spacing w:before="120" w:after="60"/>
        <w:ind w:left="709" w:right="0"/>
      </w:pPr>
      <w:r>
        <w:rPr>
          <w:rFonts w:ascii="Calibri" w:hAnsi="Calibri" w:cs="Arial"/>
          <w:b/>
          <w:bCs/>
          <w:sz w:val="24"/>
          <w:szCs w:val="24"/>
        </w:rPr>
        <w:t xml:space="preserve">7. ASSOCIATED FORMS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Fire Extinguisher / Hose Cabinet Inspection Tag: </w:t>
      </w:r>
      <w:r>
        <w:rPr>
          <w:rFonts w:ascii="Calibri" w:hAnsi="Calibri" w:cs="Arial"/>
          <w:sz w:val="24"/>
          <w:szCs w:val="24"/>
        </w:rPr>
        <w:t xml:space="preserve">Retention responsibility: MR; Minimum retention: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Monthly Firefighting Equipment Inspection Register: </w:t>
      </w:r>
      <w:r>
        <w:rPr>
          <w:rFonts w:ascii="Calibri" w:hAnsi="Calibri" w:cs="Arial"/>
          <w:sz w:val="24"/>
          <w:szCs w:val="24"/>
        </w:rPr>
        <w:t xml:space="preserve">Retention responsibility: MR; Minimum retention: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Emergency Evacuation Drill and Evaluation Report: </w:t>
      </w:r>
      <w:r>
        <w:rPr>
          <w:rFonts w:ascii="Calibri" w:hAnsi="Calibri" w:cs="Arial"/>
          <w:sz w:val="24"/>
          <w:szCs w:val="24"/>
        </w:rPr>
        <w:t xml:space="preserve">Retention responsibility: MR; Minimum retention: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Fire Network and Pump Preventive Maintenance Log: </w:t>
      </w:r>
      <w:r>
        <w:rPr>
          <w:rFonts w:ascii="Calibri" w:hAnsi="Calibri" w:cs="Arial"/>
          <w:sz w:val="24"/>
          <w:szCs w:val="24"/>
        </w:rPr>
        <w:t xml:space="preserve">Retention responsibility: MR; Minimum retention: Revise and maintain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وضع خطوات موحدة وآمنة لتشغيل معدات مكافحة الحريق ومناولتها وصيانتها داخل المنشأة، بما يضمن الاحتواء السريع للحرائق في مراحلها الأولى وتقليل المخاطر على الأرواح والممتلكات وفقًا لمعيار ISO 45001:2018.</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هذا الإجراء على جميع معدات مكافحة الحريق الثابتة والمحمولة وخزائن خراطيم الحريق والشبكات في جميع أقسام المنشأة ومستودعاتها والمرافق المرتبطة بها.</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مدير/مهندس الصحة والسلامة والبيئة: </w:t>
      </w:r>
      <w:r>
        <w:rPr>
          <w:rFonts w:ascii="Calibri" w:hAnsi="Calibri" w:cs="Arial"/>
          <w:rtl/>
          <w:sz w:val="24"/>
          <w:szCs w:val="24"/>
        </w:rPr>
        <w:t xml:space="preserve">يشرف على تنفيذ الإجراء، وينسق عمليات التفتيش الدورية، ويدرّب فرق الطوارئ والموظفين.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مكافحة الحريق والاستجابة للطوارئ: </w:t>
      </w:r>
      <w:r>
        <w:rPr>
          <w:rFonts w:ascii="Calibri" w:hAnsi="Calibri" w:cs="Arial"/>
          <w:rtl/>
          <w:sz w:val="24"/>
          <w:szCs w:val="24"/>
        </w:rPr>
        <w:t xml:space="preserve">يستجيب فورًا ويتعامل مباشرة مع معدات مكافحة الحريق أثناء حالات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الصيانة: </w:t>
      </w:r>
      <w:r>
        <w:rPr>
          <w:rFonts w:ascii="Calibri" w:hAnsi="Calibri" w:cs="Arial"/>
          <w:rtl/>
          <w:sz w:val="24"/>
          <w:szCs w:val="24"/>
        </w:rPr>
        <w:t xml:space="preserve">يراقب ضغط الشبكة والمولدات ومضخات الحريق، ويعالج أي أعطال على الفور.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الموظفين: </w:t>
      </w:r>
      <w:r>
        <w:rPr>
          <w:rFonts w:ascii="Calibri" w:hAnsi="Calibri" w:cs="Arial"/>
          <w:rtl/>
          <w:sz w:val="24"/>
          <w:szCs w:val="24"/>
        </w:rPr>
        <w:t xml:space="preserve">الإبلاغ فورًا عن أي حادث حريق أو تلف في معدات مكافحة الحريق.</w:t>
      </w:r>
    </w:p>
    <w:p>
      <w:pPr>
        <w:pStyle w:val="ListeParagraf"/>
        <w:bidi/>
        <w:spacing w:before="120" w:after="60"/>
        <w:ind w:left="0" w:right="709"/>
      </w:pPr>
      <w:r>
        <w:rPr>
          <w:rFonts w:ascii="Calibri" w:hAnsi="Calibri" w:cs="Arial"/>
          <w:b/>
          <w:bCs/>
          <w:rtl/>
          <w:sz w:val="24"/>
          <w:szCs w:val="24"/>
        </w:rPr>
        <w:t xml:space="preserve">4. خطوات التشغيل والإرشادات</w:t>
      </w:r>
    </w:p>
    <w:p>
      <w:pPr>
        <w:pStyle w:val="ListeParagraf"/>
        <w:bidi/>
        <w:spacing w:before="80" w:after="40"/>
        <w:ind w:left="0" w:right="709"/>
      </w:pPr>
      <w:r>
        <w:rPr>
          <w:rFonts w:ascii="Calibri" w:hAnsi="Calibri" w:cs="Arial"/>
          <w:b/>
          <w:bCs/>
          <w:rtl/>
          <w:sz w:val="24"/>
          <w:szCs w:val="24"/>
        </w:rPr>
        <w:t xml:space="preserve">4.1 طفايات الحريق المحمولة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تقييم الموقف: </w:t>
      </w:r>
      <w:r>
        <w:rPr>
          <w:rFonts w:ascii="Calibri" w:hAnsi="Calibri" w:cs="Arial"/>
          <w:rtl/>
          <w:sz w:val="24"/>
          <w:szCs w:val="24"/>
        </w:rPr>
        <w:t xml:space="preserve">تُستخدم الطفايات المحمولة للحرائق في مرحلتها الأولية فقط. وإذا اتسع الحريق، يجب الإخلاء فورًا.</w:t>
      </w:r>
    </w:p>
    <w:p>
      <w:pPr>
        <w:pStyle w:val="ListeParagraf"/>
        <w:bidi/>
        <w:spacing w:after="80"/>
        <w:ind w:left="0" w:right="709"/>
        <w:jc w:val="both"/>
      </w:pPr>
      <w:r>
        <w:rPr>
          <w:rFonts w:ascii="Calibri" w:hAnsi="Calibri" w:cs="Arial"/>
          <w:rtl/>
          <w:sz w:val="24"/>
          <w:szCs w:val="24"/>
        </w:rPr>
        <w:t xml:space="preserve">طريقة التشغيل القياسية (تقنية PASS):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P (اسحب): </w:t>
      </w:r>
      <w:r>
        <w:rPr>
          <w:rFonts w:ascii="Calibri" w:hAnsi="Calibri" w:cs="Arial"/>
          <w:rtl/>
          <w:sz w:val="24"/>
          <w:szCs w:val="24"/>
        </w:rPr>
        <w:t xml:space="preserve">اسحب مسمار الأمان.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A (وجّه): </w:t>
      </w:r>
      <w:r>
        <w:rPr>
          <w:rFonts w:ascii="Calibri" w:hAnsi="Calibri" w:cs="Arial"/>
          <w:rtl/>
          <w:sz w:val="24"/>
          <w:szCs w:val="24"/>
        </w:rPr>
        <w:t xml:space="preserve">وجّه الفوهة نحو قاعدة الحريق وليس نحو اللهب.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S (اضغط): </w:t>
      </w:r>
      <w:r>
        <w:rPr>
          <w:rFonts w:ascii="Calibri" w:hAnsi="Calibri" w:cs="Arial"/>
          <w:rtl/>
          <w:sz w:val="24"/>
          <w:szCs w:val="24"/>
        </w:rPr>
        <w:t xml:space="preserve">اضغط على المقبض لإطلاق مادة الإطفاء.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S (حرّك): </w:t>
      </w:r>
      <w:r>
        <w:rPr>
          <w:rFonts w:ascii="Calibri" w:hAnsi="Calibri" w:cs="Arial"/>
          <w:rtl/>
          <w:sz w:val="24"/>
          <w:szCs w:val="24"/>
        </w:rPr>
        <w:t xml:space="preserve">حرّك الفوهة أفقيًا من جانب إلى آخر حتى ينطفئ الحريق.</w:t>
      </w:r>
    </w:p>
    <w:p>
      <w:pPr>
        <w:pStyle w:val="ListeParagraf"/>
        <w:bidi/>
        <w:spacing w:after="80"/>
        <w:ind w:left="0" w:right="709"/>
        <w:jc w:val="both"/>
      </w:pPr>
      <w:r>
        <w:rPr>
          <w:rFonts w:ascii="Calibri" w:hAnsi="Calibri" w:cs="Arial"/>
          <w:rtl/>
          <w:sz w:val="24"/>
          <w:szCs w:val="24"/>
        </w:rPr>
        <w:t xml:space="preserve">اختيار الطفاية حسب فئة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البودرة الكيميائية الجافة (ABC): </w:t>
      </w:r>
      <w:r>
        <w:rPr>
          <w:rFonts w:ascii="Calibri" w:hAnsi="Calibri" w:cs="Arial"/>
          <w:rtl/>
          <w:sz w:val="24"/>
          <w:szCs w:val="24"/>
        </w:rPr>
        <w:t xml:space="preserve">للمواد الصلبة والسوائل القابلة للاشتعال والغازات والحرائق الكهربائية.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ثاني أكسيد الكربون (CO2): </w:t>
      </w:r>
      <w:r>
        <w:rPr>
          <w:rFonts w:ascii="Calibri" w:hAnsi="Calibri" w:cs="Arial"/>
          <w:rtl/>
          <w:sz w:val="24"/>
          <w:szCs w:val="24"/>
        </w:rPr>
        <w:t xml:space="preserve">للمعدات الكهربائية ولوحات التحكم.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الرغوة: </w:t>
      </w:r>
      <w:r>
        <w:rPr>
          <w:rFonts w:ascii="Calibri" w:hAnsi="Calibri" w:cs="Arial"/>
          <w:rtl/>
          <w:sz w:val="24"/>
          <w:szCs w:val="24"/>
        </w:rPr>
        <w:t xml:space="preserve">للسوائل القابلة للاشتعال (يُحظر استخدامها على المعدات الكهربائية الموصولة بالتيار).</w:t>
      </w:r>
    </w:p>
    <w:p>
      <w:pPr>
        <w:pStyle w:val="ListeParagraf"/>
        <w:bidi/>
        <w:spacing w:before="80" w:after="40"/>
        <w:ind w:left="0" w:right="709"/>
      </w:pPr>
      <w:r>
        <w:rPr>
          <w:rFonts w:ascii="Calibri" w:hAnsi="Calibri" w:cs="Arial"/>
          <w:b/>
          <w:bCs/>
          <w:rtl/>
          <w:sz w:val="24"/>
          <w:szCs w:val="24"/>
        </w:rPr>
        <w:t xml:space="preserve">4.2 خزائن خراطيم الحريق (FHC)</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الوصول: </w:t>
      </w:r>
      <w:r>
        <w:rPr>
          <w:rFonts w:ascii="Calibri" w:hAnsi="Calibri" w:cs="Arial"/>
          <w:rtl/>
          <w:sz w:val="24"/>
          <w:szCs w:val="24"/>
        </w:rPr>
        <w:t xml:space="preserve">افتح باب الخزانة واسحب الخرطوم/البكرة.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الفرد: </w:t>
      </w:r>
      <w:r>
        <w:rPr>
          <w:rFonts w:ascii="Calibri" w:hAnsi="Calibri" w:cs="Arial"/>
          <w:rtl/>
          <w:sz w:val="24"/>
          <w:szCs w:val="24"/>
        </w:rPr>
        <w:t xml:space="preserve">افرد الخرطوم بالكامل باتجاه موقع الحريق، مع التأكد من عدم وجود التواءات تعيق تدفق المياه.</w:t>
      </w:r>
    </w:p>
    <w:p>
      <w:pPr>
        <w:pStyle w:val="ListeParagraf"/>
        <w:bidi/>
        <w:spacing w:after="80"/>
        <w:ind w:left="0" w:right="709"/>
        <w:jc w:val="both"/>
      </w:pPr>
      <w:r>
        <w:rPr>
          <w:rFonts w:ascii="Calibri" w:hAnsi="Calibri" w:cs="Arial"/>
          <w:rtl/>
          <w:sz w:val="24"/>
          <w:szCs w:val="24"/>
        </w:rPr>
        <w:t xml:space="preserve">التوصيل وتشغيل الصمام: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تأكد من توصيل الخرطوم بإحكام بالصمام الداخلي والفوهة.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افتح صمام المياه بالكامل عكس اتجاه عقارب الساعة.</w:t>
      </w:r>
    </w:p>
    <w:p>
      <w:pPr>
        <w:pStyle w:val="ListeParagraf"/>
        <w:bidi/>
        <w:spacing w:after="80"/>
        <w:ind w:left="0" w:right="709"/>
        <w:jc w:val="both"/>
      </w:pPr>
      <w:r>
        <w:rPr>
          <w:rFonts w:ascii="Calibri" w:hAnsi="Calibri" w:cs="Arial"/>
          <w:rtl/>
          <w:sz w:val="24"/>
          <w:szCs w:val="24"/>
        </w:rPr>
        <w:t xml:space="preserve">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أن يمسك الخرطوم شخصان على الأقل للتحكم في ضغط المياه.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اضبط نمط الفوهة على الرذاذ/الضباب (للتبريد والحماية من الحرارة) أو على التيار المستقيم (للإطفاء المباشر) حسب الحاجة.</w:t>
      </w:r>
    </w:p>
    <w:p>
      <w:pPr>
        <w:pStyle w:val="ListeParagraf"/>
        <w:bidi/>
        <w:spacing w:before="80" w:after="40"/>
        <w:ind w:left="0" w:right="709"/>
      </w:pPr>
      <w:r>
        <w:rPr>
          <w:rFonts w:ascii="Calibri" w:hAnsi="Calibri" w:cs="Arial"/>
          <w:b/>
          <w:bCs/>
          <w:rtl/>
          <w:sz w:val="24"/>
          <w:szCs w:val="24"/>
        </w:rPr>
        <w:t xml:space="preserve">4.3 أنظمة الإطفاء الثابتة والمضخات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أنظمة الرش التلقائي: </w:t>
      </w:r>
      <w:r>
        <w:rPr>
          <w:rFonts w:ascii="Calibri" w:hAnsi="Calibri" w:cs="Arial"/>
          <w:rtl/>
          <w:sz w:val="24"/>
          <w:szCs w:val="24"/>
        </w:rPr>
        <w:t xml:space="preserve">تعمل تلقائيًا عند استشعار الحرارة وانكسار البصيلة. ويجب أن يبقى صمام التحكم الرئيسي للمنطقة مفتوحًا، ولا يغلقه إلا مشرف الصحة والسلامة والبيئة بعد التحقق من الإطفاء الكامل.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مضخات الحريق: </w:t>
      </w:r>
      <w:r>
        <w:rPr>
          <w:rFonts w:ascii="Calibri" w:hAnsi="Calibri" w:cs="Arial"/>
          <w:rtl/>
          <w:sz w:val="24"/>
          <w:szCs w:val="24"/>
        </w:rPr>
        <w:t xml:space="preserve">تُبقى بشكل دائم على الوضع التلقائي. وعند انخفاض ضغط الخط (بسبب تشغيل خزانة خرطوم أو رشاش)، تبدأ المضخات بالعمل تلقائيًا لتغذية الشبكة.</w:t>
      </w:r>
    </w:p>
    <w:p>
      <w:pPr>
        <w:pStyle w:val="ListeParagraf"/>
        <w:bidi/>
        <w:spacing w:before="120" w:after="60"/>
        <w:ind w:left="0" w:right="709"/>
      </w:pPr>
      <w:r>
        <w:rPr>
          <w:rFonts w:ascii="Calibri" w:hAnsi="Calibri" w:cs="Arial"/>
          <w:b/>
          <w:bCs/>
          <w:rtl/>
          <w:sz w:val="24"/>
          <w:szCs w:val="24"/>
        </w:rPr>
        <w:t xml:space="preserve">5. التفتيش والاختبار والصيانة</w:t>
      </w:r>
    </w:p>
    <w:p>
      <w:pPr>
        <w:pStyle w:val="ListeParagraf"/>
        <w:bidi/>
        <w:spacing w:after="80"/>
        <w:ind w:left="0" w:right="709"/>
        <w:jc w:val="both"/>
      </w:pPr>
      <w:r>
        <w:rPr>
          <w:rFonts w:ascii="Calibri" w:hAnsi="Calibri" w:cs="Arial"/>
          <w:rtl/>
          <w:sz w:val="24"/>
          <w:szCs w:val="24"/>
        </w:rPr>
        <w:t xml:space="preserve">التفتيش اليومي/الأسبوعي: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التأكد من خلو الممرات حول جميع خزائن الحريق والطفايات.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فحص مقاييس الضغط في طفايات البودرة (يجب أن يكون المؤشر في المنطقة الخضراء).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التحقق من سلامة أختام الأمان وبطاقات التفتيش.</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اختبار محطات غسيل العيون الطارئة وتشغيل مضخات الحريق بانتظام.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التفتيش الشهري: </w:t>
      </w:r>
      <w:r>
        <w:rPr>
          <w:rFonts w:ascii="Calibri" w:hAnsi="Calibri" w:cs="Arial"/>
          <w:rtl/>
          <w:sz w:val="24"/>
          <w:szCs w:val="24"/>
        </w:rPr>
        <w:t xml:space="preserve">تسجيل الفحوص الميدانية لكل وحدة في سجل تفتيش معدات مكافحة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 السنوية: </w:t>
      </w:r>
      <w:r>
        <w:rPr>
          <w:rFonts w:ascii="Calibri" w:hAnsi="Calibri" w:cs="Arial"/>
          <w:rtl/>
          <w:sz w:val="24"/>
          <w:szCs w:val="24"/>
        </w:rPr>
        <w:t xml:space="preserve">إجراء الخدمة السنوية المعتمدة، وإعادة التعبئة، واختبار ضغط الخراطيم، والاختبار الهيدروستاتيكي.</w:t>
      </w:r>
    </w:p>
    <w:p>
      <w:pPr>
        <w:pStyle w:val="ListeParagraf"/>
        <w:bidi/>
        <w:spacing w:before="120" w:after="60"/>
        <w:ind w:left="0" w:right="709"/>
      </w:pPr>
      <w:r>
        <w:rPr>
          <w:rFonts w:ascii="Calibri" w:hAnsi="Calibri" w:cs="Arial"/>
          <w:b/>
          <w:bCs/>
          <w:rtl/>
          <w:sz w:val="24"/>
          <w:szCs w:val="24"/>
        </w:rPr>
        <w:t xml:space="preserve">6. التدريب والتوعية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تنفيذ تدريب عملي للموظفين على تشغيل الطفايات المحمولة وخزائن خراطيم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تنفيذ تمارين الإخلاء مرتين سنويًا على الأقل لتقييم فاعلية الاستجابة للطوارئ وفقًا لمتطلبات ISO 45001، مع توثيق النتائج وخطط الإجراءات التصحيحية.</w:t>
      </w:r>
    </w:p>
    <w:p>
      <w:pPr>
        <w:pStyle w:val="ListeParagraf"/>
        <w:bidi/>
        <w:spacing w:before="120" w:after="60"/>
        <w:ind w:left="0" w:right="709"/>
      </w:pPr>
      <w:r>
        <w:rPr>
          <w:rFonts w:ascii="Calibri" w:hAnsi="Calibri" w:cs="Arial"/>
          <w:b/>
          <w:bCs/>
          <w:rtl/>
          <w:sz w:val="24"/>
          <w:szCs w:val="24"/>
        </w:rPr>
        <w:t xml:space="preserve">7. النماذج المرتبطة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تفتيش طفاية الحريق/خزانة الخرطوم: </w:t>
      </w:r>
      <w:r>
        <w:rPr>
          <w:rFonts w:ascii="Calibri" w:hAnsi="Calibri" w:cs="Arial"/>
          <w:rtl/>
          <w:sz w:val="24"/>
          <w:szCs w:val="24"/>
        </w:rPr>
        <w:t xml:space="preserve">مسؤولية الحفظ: ممثل الإدارة (MR)؛ الحد الأدنى للحفظ: تُراجع ويُحتفظ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التفتيش الشهري لمعدات مكافحة الحريق: </w:t>
      </w:r>
      <w:r>
        <w:rPr>
          <w:rFonts w:ascii="Calibri" w:hAnsi="Calibri" w:cs="Arial"/>
          <w:rtl/>
          <w:sz w:val="24"/>
          <w:szCs w:val="24"/>
        </w:rPr>
        <w:t xml:space="preserve">مسؤولية الحفظ: ممثل الإدارة (MR)؛ الحد الأدنى للحفظ: يُراجع ويُحتفظ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تمرين الإخلاء في حالات الطوارئ وتقييمه: </w:t>
      </w:r>
      <w:r>
        <w:rPr>
          <w:rFonts w:ascii="Calibri" w:hAnsi="Calibri" w:cs="Arial"/>
          <w:rtl/>
          <w:sz w:val="24"/>
          <w:szCs w:val="24"/>
        </w:rPr>
        <w:t xml:space="preserve">مسؤولية الحفظ: ممثل الإدارة (MR)؛ الحد الأدنى للحفظ: يُراجع ويُحتفظ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الصيانة الوقائية لشبكة الحريق والمضخات: </w:t>
      </w:r>
      <w:r>
        <w:rPr>
          <w:rFonts w:ascii="Calibri" w:hAnsi="Calibri" w:cs="Arial"/>
          <w:rtl/>
          <w:sz w:val="24"/>
          <w:szCs w:val="24"/>
        </w:rPr>
        <w:t xml:space="preserve">مسؤولية الحفظ: ممثل الإدارة (MR)؛ الحد الأدنى للحفظ: يُراجع ويُحتفظ به</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EMERGENCY RESPONSE PLAN: FIREFIGHTING EQUIPMENT</w:t>
          </w:r>
        </w:p>
        <w:p>
          <w:pPr>
            <w:pStyle w:val="GvdeMetni2"/>
            <w:bidi/>
            <w:spacing w:line="276" w:lineRule="auto"/>
            <w:jc w:val="center"/>
          </w:pPr>
          <w:r>
            <w:rPr>
              <w:rFonts w:asciiTheme="minorHAnsi" w:hAnsiTheme="minorHAnsi" w:cs="Arial"/>
              <w:b/>
              <w:bCs/>
              <w:color w:val="000000" w:themeColor="text1"/>
              <w:sz w:val="22"/>
              <w:szCs w:val="22"/>
              <w:rtl/>
            </w:rPr>
            <w:t>خطة الاستجابة للطوارئ: معدات مكافحة الحريق</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EMS.İS.PRO.18.23.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