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inspection area where organic fabric and goods are checked and records kept.</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Quality Control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Products are inspected here and results recorded.</w:t>
      </w:r>
    </w:p>
    <w:p>
      <w:pPr>
        <w:pStyle w:val="ListeParagraf"/>
        <w:spacing w:after="80"/>
        <w:ind w:left="709" w:right="0"/>
        <w:jc w:val="both"/>
      </w:pPr>
      <w:r>
        <w:rPr>
          <w:rFonts w:ascii="Calibri" w:hAnsi="Calibri" w:cs="Arial"/>
          <w:sz w:val="24"/>
          <w:szCs w:val="24"/>
        </w:rPr>
        <w:t xml:space="preserve">1.2. Approved goods get green, pending yellow, non-conforming red tags.</w:t>
      </w:r>
    </w:p>
    <w:p>
      <w:pPr>
        <w:pStyle w:val="ListeParagraf"/>
        <w:spacing w:after="80"/>
        <w:ind w:left="709" w:right="0"/>
        <w:jc w:val="both"/>
      </w:pPr>
      <w:r>
        <w:rPr>
          <w:rFonts w:ascii="Calibri" w:hAnsi="Calibri" w:cs="Arial"/>
          <w:sz w:val="24"/>
          <w:szCs w:val="24"/>
        </w:rPr>
        <w:t xml:space="preserve">1.3. A non-conformance is raised and corrective action started for rejects.</w:t>
      </w:r>
    </w:p>
    <w:p>
      <w:pPr>
        <w:pStyle w:val="ListeParagraf"/>
        <w:spacing w:after="80"/>
        <w:ind w:left="709" w:right="0"/>
        <w:jc w:val="both"/>
      </w:pPr>
      <w:r>
        <w:rPr>
          <w:rFonts w:ascii="Calibri" w:hAnsi="Calibri" w:cs="Arial"/>
          <w:sz w:val="24"/>
          <w:szCs w:val="24"/>
        </w:rPr>
        <w:t xml:space="preserve">1.4. Test reports (colour fastness, shrinkage) are tied to the lot.</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Lot arrives at inspection</w:t>
      </w:r>
    </w:p>
    <w:p>
      <w:pPr>
        <w:pStyle w:val="ListeParagraf"/>
        <w:spacing w:after="80"/>
        <w:ind w:left="709" w:right="0"/>
        <w:jc w:val="both"/>
      </w:pPr>
      <w:r>
        <w:rPr>
          <w:rFonts w:ascii="Calibri" w:hAnsi="Calibri" w:cs="Arial"/>
          <w:sz w:val="24"/>
          <w:szCs w:val="24"/>
        </w:rPr>
        <w:t xml:space="preserve">2.2. Visual and measurement inspection</w:t>
      </w:r>
    </w:p>
    <w:p>
      <w:pPr>
        <w:pStyle w:val="ListeParagraf"/>
        <w:spacing w:after="80"/>
        <w:ind w:left="709" w:right="0"/>
        <w:jc w:val="both"/>
      </w:pPr>
      <w:r>
        <w:rPr>
          <w:rFonts w:ascii="Calibri" w:hAnsi="Calibri" w:cs="Arial"/>
          <w:sz w:val="24"/>
          <w:szCs w:val="24"/>
        </w:rPr>
        <w:t xml:space="preserve">2.3. Test results reviewed</w:t>
      </w:r>
    </w:p>
    <w:p>
      <w:pPr>
        <w:pStyle w:val="ListeParagraf"/>
        <w:spacing w:after="80"/>
        <w:ind w:left="709" w:right="0"/>
        <w:jc w:val="both"/>
      </w:pPr>
      <w:r>
        <w:rPr>
          <w:rFonts w:ascii="Calibri" w:hAnsi="Calibri" w:cs="Arial"/>
          <w:sz w:val="24"/>
          <w:szCs w:val="24"/>
        </w:rPr>
        <w:t xml:space="preserve">2.4. Decision: approve / hold / reject</w:t>
      </w:r>
    </w:p>
    <w:p>
      <w:pPr>
        <w:pStyle w:val="ListeParagraf"/>
        <w:spacing w:after="80"/>
        <w:ind w:left="709" w:right="0"/>
        <w:jc w:val="both"/>
      </w:pPr>
      <w:r>
        <w:rPr>
          <w:rFonts w:ascii="Calibri" w:hAnsi="Calibri" w:cs="Arial"/>
          <w:sz w:val="24"/>
          <w:szCs w:val="24"/>
        </w:rPr>
        <w:t xml:space="preserve">2.5. Approved lot sent to the next area</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Are inspection records kept by lot?</w:t>
      </w:r>
    </w:p>
    <w:p>
      <w:pPr>
        <w:pStyle w:val="ListeParagraf"/>
        <w:spacing w:after="80"/>
        <w:ind w:left="709" w:right="0"/>
        <w:jc w:val="both"/>
      </w:pPr>
      <w:r>
        <w:rPr>
          <w:rFonts w:ascii="Calibri" w:hAnsi="Calibri" w:cs="Arial"/>
          <w:sz w:val="24"/>
          <w:szCs w:val="24"/>
        </w:rPr>
        <w:t xml:space="preserve">3.2. Is the colour-coded tagging applied correctly?</w:t>
      </w:r>
    </w:p>
    <w:p>
      <w:pPr>
        <w:pStyle w:val="ListeParagraf"/>
        <w:spacing w:after="80"/>
        <w:ind w:left="709" w:right="0"/>
        <w:jc w:val="both"/>
      </w:pPr>
      <w:r>
        <w:rPr>
          <w:rFonts w:ascii="Calibri" w:hAnsi="Calibri" w:cs="Arial"/>
          <w:sz w:val="24"/>
          <w:szCs w:val="24"/>
        </w:rPr>
        <w:t xml:space="preserve">3.3. Is there a non-conformance and corrective action?</w:t>
      </w:r>
    </w:p>
    <w:p>
      <w:pPr>
        <w:pStyle w:val="ListeParagraf"/>
        <w:spacing w:after="80"/>
        <w:ind w:left="709" w:right="0"/>
        <w:jc w:val="both"/>
      </w:pPr>
      <w:r>
        <w:rPr>
          <w:rFonts w:ascii="Calibri" w:hAnsi="Calibri" w:cs="Arial"/>
          <w:sz w:val="24"/>
          <w:szCs w:val="24"/>
        </w:rPr>
        <w:t xml:space="preserve">3.4. Are test reports linked to the lot?</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EMS.OR.FRM.21.14. Organic Quality Control Form</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Quality Assurance Supervisor checks the application of this instruction for every lot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منطقة الفحص اللي بيتفحص فيها القماش والمنتجات العضوية وبتتحفظ فيها السجلات.</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مراقبة الجودة العضوية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ضمان الجودة:</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المنتجات بتتفحص هنا والنتايج بتتسجل.</w:t>
      </w:r>
    </w:p>
    <w:p>
      <w:pPr>
        <w:pStyle w:val="ListeParagraf"/>
        <w:bidi/>
        <w:spacing w:after="80"/>
        <w:ind w:left="0" w:right="709"/>
        <w:jc w:val="both"/>
      </w:pPr>
      <w:r>
        <w:rPr>
          <w:rFonts w:ascii="Calibri" w:hAnsi="Calibri" w:cs="Arial"/>
          <w:rtl/>
          <w:sz w:val="24"/>
          <w:szCs w:val="24"/>
        </w:rPr>
        <w:t xml:space="preserve">1.2. المعتمد أخضر والمعلّق أصفر وغير المطابق أحمر.</w:t>
      </w:r>
    </w:p>
    <w:p>
      <w:pPr>
        <w:pStyle w:val="ListeParagraf"/>
        <w:bidi/>
        <w:spacing w:after="80"/>
        <w:ind w:left="0" w:right="709"/>
        <w:jc w:val="both"/>
      </w:pPr>
      <w:r>
        <w:rPr>
          <w:rFonts w:ascii="Calibri" w:hAnsi="Calibri" w:cs="Arial"/>
          <w:rtl/>
          <w:sz w:val="24"/>
          <w:szCs w:val="24"/>
        </w:rPr>
        <w:t xml:space="preserve">1.3. بيتفتح سجل عدم مطابقة وبتبدأ إجراءات تصحيحية للمرفوض.</w:t>
      </w:r>
    </w:p>
    <w:p>
      <w:pPr>
        <w:pStyle w:val="ListeParagraf"/>
        <w:bidi/>
        <w:spacing w:after="80"/>
        <w:ind w:left="0" w:right="709"/>
        <w:jc w:val="both"/>
      </w:pPr>
      <w:r>
        <w:rPr>
          <w:rFonts w:ascii="Calibri" w:hAnsi="Calibri" w:cs="Arial"/>
          <w:rtl/>
          <w:sz w:val="24"/>
          <w:szCs w:val="24"/>
        </w:rPr>
        <w:t xml:space="preserve">1.4. تقارير الاختبار (ثبات اللون والانكماش) بتتربط بالدفعة.</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وصول الدفعة للفحص</w:t>
      </w:r>
    </w:p>
    <w:p>
      <w:pPr>
        <w:pStyle w:val="ListeParagraf"/>
        <w:bidi/>
        <w:spacing w:after="80"/>
        <w:ind w:left="0" w:right="709"/>
        <w:jc w:val="both"/>
      </w:pPr>
      <w:r>
        <w:rPr>
          <w:rFonts w:ascii="Calibri" w:hAnsi="Calibri" w:cs="Arial"/>
          <w:rtl/>
          <w:sz w:val="24"/>
          <w:szCs w:val="24"/>
        </w:rPr>
        <w:t xml:space="preserve">2.2. فحص بالعين وبالقياس</w:t>
      </w:r>
    </w:p>
    <w:p>
      <w:pPr>
        <w:pStyle w:val="ListeParagraf"/>
        <w:bidi/>
        <w:spacing w:after="80"/>
        <w:ind w:left="0" w:right="709"/>
        <w:jc w:val="both"/>
      </w:pPr>
      <w:r>
        <w:rPr>
          <w:rFonts w:ascii="Calibri" w:hAnsi="Calibri" w:cs="Arial"/>
          <w:rtl/>
          <w:sz w:val="24"/>
          <w:szCs w:val="24"/>
        </w:rPr>
        <w:t xml:space="preserve">2.3. مراجعة نتايج الاختبار</w:t>
      </w:r>
    </w:p>
    <w:p>
      <w:pPr>
        <w:pStyle w:val="ListeParagraf"/>
        <w:bidi/>
        <w:spacing w:after="80"/>
        <w:ind w:left="0" w:right="709"/>
        <w:jc w:val="both"/>
      </w:pPr>
      <w:r>
        <w:rPr>
          <w:rFonts w:ascii="Calibri" w:hAnsi="Calibri" w:cs="Arial"/>
          <w:rtl/>
          <w:sz w:val="24"/>
          <w:szCs w:val="24"/>
        </w:rPr>
        <w:t xml:space="preserve">2.4. القرار: اعتماد / انتظار / رفض</w:t>
      </w:r>
    </w:p>
    <w:p>
      <w:pPr>
        <w:pStyle w:val="ListeParagraf"/>
        <w:bidi/>
        <w:spacing w:after="80"/>
        <w:ind w:left="0" w:right="709"/>
        <w:jc w:val="both"/>
      </w:pPr>
      <w:r>
        <w:rPr>
          <w:rFonts w:ascii="Calibri" w:hAnsi="Calibri" w:cs="Arial"/>
          <w:rtl/>
          <w:sz w:val="24"/>
          <w:szCs w:val="24"/>
        </w:rPr>
        <w:t xml:space="preserve">2.5. إرسال الدفعة المعتمدة للمنطقة اللي بعدها</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سجلات الفحص محفوظة حسب الدفعة؟</w:t>
      </w:r>
    </w:p>
    <w:p>
      <w:pPr>
        <w:pStyle w:val="ListeParagraf"/>
        <w:bidi/>
        <w:spacing w:after="80"/>
        <w:ind w:left="0" w:right="709"/>
        <w:jc w:val="both"/>
      </w:pPr>
      <w:r>
        <w:rPr>
          <w:rFonts w:ascii="Calibri" w:hAnsi="Calibri" w:cs="Arial"/>
          <w:rtl/>
          <w:sz w:val="24"/>
          <w:szCs w:val="24"/>
        </w:rPr>
        <w:t xml:space="preserve">3.2. تطبيق ترميز الألوان صح؟</w:t>
      </w:r>
    </w:p>
    <w:p>
      <w:pPr>
        <w:pStyle w:val="ListeParagraf"/>
        <w:bidi/>
        <w:spacing w:after="80"/>
        <w:ind w:left="0" w:right="709"/>
        <w:jc w:val="both"/>
      </w:pPr>
      <w:r>
        <w:rPr>
          <w:rFonts w:ascii="Calibri" w:hAnsi="Calibri" w:cs="Arial"/>
          <w:rtl/>
          <w:sz w:val="24"/>
          <w:szCs w:val="24"/>
        </w:rPr>
        <w:t xml:space="preserve">3.3. فيه سجل عدم مطابقة وإجراء تصحيحي؟</w:t>
      </w:r>
    </w:p>
    <w:p>
      <w:pPr>
        <w:pStyle w:val="ListeParagraf"/>
        <w:bidi/>
        <w:spacing w:after="80"/>
        <w:ind w:left="0" w:right="709"/>
        <w:jc w:val="both"/>
      </w:pPr>
      <w:r>
        <w:rPr>
          <w:rFonts w:ascii="Calibri" w:hAnsi="Calibri" w:cs="Arial"/>
          <w:rtl/>
          <w:sz w:val="24"/>
          <w:szCs w:val="24"/>
        </w:rPr>
        <w:t xml:space="preserve">3.4. تقارير الاختبار مربوطة بالدفعة؟</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EMS.OR.FRM.21.14. نموذج مراقبة الجودة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ضمان الجودة بيتحقق من تطبيق التعليمات دي مع كل دفعة،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969"/>
      <w:gridCol w:w="4278"/>
      <w:gridCol w:w="1320"/>
      <w:gridCol w:w="1709"/>
    </w:tblGrid>
    <w:tr w:rsidR="00B524A9" w14:paraId="3FC2F665" w14:textId="77777777" w:rsidTr="005B3758">
      <w:trPr>
        <w:trHeight w:val="1039"/>
      </w:trPr>
      <w:tc>
        <w:tcPr>
          <w:tcW w:w="296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60000" cy="662638"/>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88008" cy="68705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drawing>
              <wp:inline xmlns:a="http://schemas.openxmlformats.org/drawingml/2006/main" xmlns:pic="http://schemas.openxmlformats.org/drawingml/2006/picture">
                <wp:extent cx="700000" cy="700000"/>
                <wp:docPr id="38064678" name="Picture 38064678"/>
                <wp:cNvGraphicFramePr>
                  <a:graphicFrameLocks noChangeAspect="1"/>
                </wp:cNvGraphicFramePr>
                <a:graphic>
                  <a:graphicData uri="http://schemas.openxmlformats.org/drawingml/2006/picture">
                    <pic:pic>
                      <pic:nvPicPr>
                        <pic:cNvPr id="0" name="gots_hd_kare.png"/>
                        <pic:cNvPicPr/>
                      </pic:nvPicPr>
                      <pic:blipFill>
                        <a:blip r:embed="rId2"/>
                        <a:stretch>
                          <a:fillRect/>
                        </a:stretch>
                      </pic:blipFill>
                      <pic:spPr>
                        <a:xfrm>
                          <a:off x="0" y="0"/>
                          <a:ext cx="700000" cy="700000"/>
                        </a:xfrm>
                        <a:prstGeom prst="rect"/>
                      </pic:spPr>
                    </pic:pic>
                  </a:graphicData>
                </a:graphic>
              </wp:inline>
            </w:drawing>
          </w:r>
        </w:p>
      </w:tc>
      <w:tc>
        <w:tcPr>
          <w:tcW w:w="42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QUALITY CONTROL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مراقبة الجودة العضوية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EMS.OR.TL.21.09.</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