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wastewater generated at Eroglu Knitting (EMS) is collected, treated, monitored and discharged, so that discharge limits in applicable Egyptian legislation and customer requirements (including the ZDHC Wastewater Guidelines) are always met and pollution is prevented.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Process wastewater from dyeing, washing, finishing, printing and the laboratory,</w:t>
      </w:r>
    </w:p>
    <w:p>
      <w:pPr>
        <w:pStyle w:val="ListeParagraf"/>
        <w:spacing w:after="80"/>
        <w:ind w:left="709" w:right="0"/>
        <w:jc w:val="both"/>
      </w:pPr>
      <w:r>
        <w:rPr>
          <w:rFonts w:ascii="Calibri" w:hAnsi="Calibri" w:cs="Arial"/>
          <w:sz w:val="24"/>
          <w:szCs w:val="24"/>
        </w:rPr>
        <w:t xml:space="preserve">• Boiler blow-down, cooling water and floor washing water,</w:t>
      </w:r>
    </w:p>
    <w:p>
      <w:pPr>
        <w:pStyle w:val="ListeParagraf"/>
        <w:spacing w:after="80"/>
        <w:ind w:left="709" w:right="0"/>
        <w:jc w:val="both"/>
      </w:pPr>
      <w:r>
        <w:rPr>
          <w:rFonts w:ascii="Calibri" w:hAnsi="Calibri" w:cs="Arial"/>
          <w:sz w:val="24"/>
          <w:szCs w:val="24"/>
        </w:rPr>
        <w:t xml:space="preserve">• Domestic (sanitary) wastewater from toilets, canteen and kitchen,</w:t>
      </w:r>
    </w:p>
    <w:p>
      <w:pPr>
        <w:pStyle w:val="ListeParagraf"/>
        <w:spacing w:after="80"/>
        <w:ind w:left="709" w:right="0"/>
        <w:jc w:val="both"/>
      </w:pPr>
      <w:r>
        <w:rPr>
          <w:rFonts w:ascii="Calibri" w:hAnsi="Calibri" w:cs="Arial"/>
          <w:sz w:val="24"/>
          <w:szCs w:val="24"/>
        </w:rPr>
        <w:t xml:space="preserve">• Operation of the effluent treatment plant (ETP) and sludge generated by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Manages this procedure, plans wastewater sampling, evaluates the results and reports to management and customers.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Operator / Supervisor:</w:t>
      </w:r>
      <w:r>
        <w:rPr>
          <w:rFonts w:ascii="Calibri" w:hAnsi="Calibri" w:cs="Arial"/>
          <w:sz w:val="24"/>
          <w:szCs w:val="24"/>
        </w:rPr>
        <w:t xml:space="preserve"> Operates the treatment plant according to the operating instructions, carries out daily checks and keeps the ETP log.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Informs the ETP in advance of unusual discharges (e.g. bath dumps, machine cleaning) and minimises water and chemical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Maintains pumps, aerators, dosing systems and flow meters of the ETP.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w:t>
      </w:r>
      <w:r>
        <w:rPr>
          <w:rFonts w:ascii="Calibri" w:hAnsi="Calibri" w:cs="Arial"/>
          <w:sz w:val="24"/>
          <w:szCs w:val="24"/>
        </w:rPr>
        <w:t xml:space="preserve"> Effluent Treatment Plant; the facility where process wastewater is treated before discharge.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Parameters:</w:t>
      </w:r>
      <w:r>
        <w:rPr>
          <w:rFonts w:ascii="Calibri" w:hAnsi="Calibri" w:cs="Arial"/>
          <w:sz w:val="24"/>
          <w:szCs w:val="24"/>
        </w:rPr>
        <w:t xml:space="preserve"> Parameters such as pH, temperature, COD, BOD, TSS, colour, oil and grease, used to assess wastewater quality.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Sludge:</w:t>
      </w:r>
      <w:r>
        <w:rPr>
          <w:rFonts w:ascii="Calibri" w:hAnsi="Calibri" w:cs="Arial"/>
          <w:sz w:val="24"/>
          <w:szCs w:val="24"/>
        </w:rPr>
        <w:t xml:space="preserve"> The solid residue separated from wastewater during treatment.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COLLECTION AND SEGREGATION</w:t>
      </w:r>
    </w:p>
    <w:p>
      <w:pPr>
        <w:pStyle w:val="ListeParagraf"/>
        <w:spacing w:after="80"/>
        <w:ind w:left="709" w:right="0"/>
        <w:jc w:val="both"/>
      </w:pPr>
      <w:r>
        <w:rPr>
          <w:rFonts w:ascii="Calibri" w:hAnsi="Calibri" w:cs="Arial"/>
          <w:sz w:val="24"/>
          <w:szCs w:val="24"/>
        </w:rPr>
        <w:t xml:space="preserve">1.1. Process wastewater, sanitary wastewater and rainwater are collected in separate, identified lines; connection of process water to rainwater drains is prohibited.</w:t>
      </w:r>
    </w:p>
    <w:p>
      <w:pPr>
        <w:pStyle w:val="ListeParagraf"/>
        <w:spacing w:after="80"/>
        <w:ind w:left="709" w:right="0"/>
        <w:jc w:val="both"/>
      </w:pPr>
      <w:r>
        <w:rPr>
          <w:rFonts w:ascii="Calibri" w:hAnsi="Calibri" w:cs="Arial"/>
          <w:sz w:val="24"/>
          <w:szCs w:val="24"/>
        </w:rPr>
        <w:t xml:space="preserve">1.2. The drainage map of the facility is kept up to date and drains are labelled on site.</w:t>
      </w:r>
    </w:p>
    <w:p>
      <w:pPr>
        <w:pStyle w:val="ListeParagraf"/>
        <w:spacing w:after="80"/>
        <w:ind w:left="709" w:right="0"/>
        <w:jc w:val="both"/>
      </w:pPr>
      <w:r>
        <w:rPr>
          <w:rFonts w:ascii="Calibri" w:hAnsi="Calibri" w:cs="Arial"/>
          <w:sz w:val="24"/>
          <w:szCs w:val="24"/>
        </w:rPr>
        <w:t xml:space="preserve">1.3. Floor drains in chemical stores and the dispensing room are closed or connected to containment so that spills cannot reach the drains.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TREATMENT</w:t>
      </w:r>
    </w:p>
    <w:p>
      <w:pPr>
        <w:pStyle w:val="ListeParagraf"/>
        <w:spacing w:after="80"/>
        <w:ind w:left="709" w:right="0"/>
        <w:jc w:val="both"/>
      </w:pPr>
      <w:r>
        <w:rPr>
          <w:rFonts w:ascii="Calibri" w:hAnsi="Calibri" w:cs="Arial"/>
          <w:sz w:val="24"/>
          <w:szCs w:val="24"/>
        </w:rPr>
        <w:t xml:space="preserve">2.1. The ETP is operated continuously when the dyehouse is working. The main stages (equalisation, pH correction, biological or physico-chemical treatment, settling) are controlled according to the Wastewater Treatment Plant Operation Instruction (EMS.ÇV.TL.19.03.).</w:t>
      </w:r>
    </w:p>
    <w:p>
      <w:pPr>
        <w:pStyle w:val="ListeParagraf"/>
        <w:spacing w:after="80"/>
        <w:ind w:left="709" w:right="0"/>
        <w:jc w:val="both"/>
      </w:pPr>
      <w:r>
        <w:rPr>
          <w:rFonts w:ascii="Calibri" w:hAnsi="Calibri" w:cs="Arial"/>
          <w:sz w:val="24"/>
          <w:szCs w:val="24"/>
        </w:rPr>
        <w:t xml:space="preserve">2.2. The ETP operator checks and records at least every shift: inlet and outlet flow, pH, temperature, dissolved oxygen and visual appearance (colour, foam).</w:t>
      </w:r>
    </w:p>
    <w:p>
      <w:pPr>
        <w:pStyle w:val="ListeParagraf"/>
        <w:spacing w:after="80"/>
        <w:ind w:left="709" w:right="0"/>
        <w:jc w:val="both"/>
      </w:pPr>
      <w:r>
        <w:rPr>
          <w:rFonts w:ascii="Calibri" w:hAnsi="Calibri" w:cs="Arial"/>
          <w:sz w:val="24"/>
          <w:szCs w:val="24"/>
        </w:rPr>
        <w:t xml:space="preserve">2.3. Treatment chemicals are approved according to EMS.KM.PRO.20.01. and dosed as instructed.</w:t>
      </w:r>
    </w:p>
    <w:p>
      <w:pPr>
        <w:pStyle w:val="ListeParagraf"/>
        <w:spacing w:after="80"/>
        <w:ind w:left="709" w:right="0"/>
        <w:jc w:val="both"/>
      </w:pPr>
      <w:r>
        <w:rPr>
          <w:rFonts w:ascii="Calibri" w:hAnsi="Calibri" w:cs="Arial"/>
          <w:sz w:val="24"/>
          <w:szCs w:val="24"/>
        </w:rPr>
        <w:t xml:space="preserve">2.4. Bypassing the ETP or diluting effluent to meet limits is strictly prohibited.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SAMPLING AND TESTING</w:t>
      </w:r>
    </w:p>
    <w:p>
      <w:pPr>
        <w:pStyle w:val="ListeParagraf"/>
        <w:spacing w:after="80"/>
        <w:ind w:left="709" w:right="0"/>
        <w:jc w:val="both"/>
      </w:pPr>
      <w:r>
        <w:rPr>
          <w:rFonts w:ascii="Calibri" w:hAnsi="Calibri" w:cs="Arial"/>
          <w:sz w:val="24"/>
          <w:szCs w:val="24"/>
        </w:rPr>
        <w:t xml:space="preserve">3.1. Internal tests (pH, COD, TSS, colour) are carried out at the defined frequency in the EMS laboratory.</w:t>
      </w:r>
    </w:p>
    <w:p>
      <w:pPr>
        <w:pStyle w:val="ListeParagraf"/>
        <w:spacing w:after="80"/>
        <w:ind w:left="709" w:right="0"/>
        <w:jc w:val="both"/>
      </w:pPr>
      <w:r>
        <w:rPr>
          <w:rFonts w:ascii="Calibri" w:hAnsi="Calibri" w:cs="Arial"/>
          <w:sz w:val="24"/>
          <w:szCs w:val="24"/>
        </w:rPr>
        <w:t xml:space="preserve">3.2. Wastewater and sludge are tested by an accredited external laboratory at least twice a year, covering conventional parameters, heavy metals and ZDHC MRSL substances, and the results are uploaded to the ZDHC Gateway when required by customers.</w:t>
      </w:r>
    </w:p>
    <w:p>
      <w:pPr>
        <w:pStyle w:val="ListeParagraf"/>
        <w:spacing w:after="80"/>
        <w:ind w:left="709" w:right="0"/>
        <w:jc w:val="both"/>
      </w:pPr>
      <w:r>
        <w:rPr>
          <w:rFonts w:ascii="Calibri" w:hAnsi="Calibri" w:cs="Arial"/>
          <w:sz w:val="24"/>
          <w:szCs w:val="24"/>
        </w:rPr>
        <w:t xml:space="preserve">3.3. Sampling points, methods, frequencies and responsible persons are defined in the annual environmental monitoring plan prepared by the Environmental Officer; flow meters and pH and DO meters are calibrated according to EMS.LB.PRO.09.02.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ABNORMAL SITUATIONS</w:t>
      </w:r>
    </w:p>
    <w:p>
      <w:pPr>
        <w:pStyle w:val="ListeParagraf"/>
        <w:spacing w:after="80"/>
        <w:ind w:left="709" w:right="0"/>
        <w:jc w:val="both"/>
      </w:pPr>
      <w:r>
        <w:rPr>
          <w:rFonts w:ascii="Calibri" w:hAnsi="Calibri" w:cs="Arial"/>
          <w:sz w:val="24"/>
          <w:szCs w:val="24"/>
        </w:rPr>
        <w:t xml:space="preserve">4.1. If a result exceeds the limit, or the ETP fails, the ETP operator informs the Environmental Officer immediately.</w:t>
      </w:r>
    </w:p>
    <w:p>
      <w:pPr>
        <w:pStyle w:val="ListeParagraf"/>
        <w:spacing w:after="80"/>
        <w:ind w:left="709" w:right="0"/>
        <w:jc w:val="both"/>
      </w:pPr>
      <w:r>
        <w:rPr>
          <w:rFonts w:ascii="Calibri" w:hAnsi="Calibri" w:cs="Arial"/>
          <w:sz w:val="24"/>
          <w:szCs w:val="24"/>
        </w:rPr>
        <w:t xml:space="preserve">4.2. Discharge is stopped or reduced (holding in the equalisation tank, reducing dyeing production) until the problem is solved.</w:t>
      </w:r>
    </w:p>
    <w:p>
      <w:pPr>
        <w:pStyle w:val="ListeParagraf"/>
        <w:spacing w:after="80"/>
        <w:ind w:left="709" w:right="0"/>
        <w:jc w:val="both"/>
      </w:pPr>
      <w:r>
        <w:rPr>
          <w:rFonts w:ascii="Calibri" w:hAnsi="Calibri" w:cs="Arial"/>
          <w:sz w:val="24"/>
          <w:szCs w:val="24"/>
        </w:rPr>
        <w:t xml:space="preserve">4.3. The cause is investigated, corrective action is opened according to EMS.YS.PRO.11.02. and, where required, authorities and customers are informed.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SLUDGE MANAGEMENT</w:t>
      </w:r>
    </w:p>
    <w:p>
      <w:pPr>
        <w:pStyle w:val="ListeParagraf"/>
        <w:spacing w:after="80"/>
        <w:ind w:left="709" w:right="0"/>
        <w:jc w:val="both"/>
      </w:pPr>
      <w:r>
        <w:rPr>
          <w:rFonts w:ascii="Calibri" w:hAnsi="Calibri" w:cs="Arial"/>
          <w:sz w:val="24"/>
          <w:szCs w:val="24"/>
        </w:rPr>
        <w:t xml:space="preserve">5.1. Sludge is dewatered, stored in a covered and impermeable area and handed over only to licensed waste contractors, with waste transfer documents kept.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following indicators are monitored monthly and reported in the management review:</w:t>
      </w:r>
    </w:p>
    <w:p>
      <w:pPr>
        <w:pStyle w:val="ListeParagraf"/>
        <w:numPr>
          <w:ilvl w:val="0"/>
          <w:numId w:val="1"/>
        </w:numPr>
        <w:spacing w:after="60"/>
        <w:jc w:val="both"/>
      </w:pPr>
      <w:r>
        <w:rPr>
          <w:rFonts w:ascii="Calibri" w:hAnsi="Calibri" w:cs="Arial"/>
          <w:sz w:val="24"/>
          <w:szCs w:val="24"/>
        </w:rPr>
        <w:t xml:space="preserve">Wastewater volume (m³) and water use per kg of fabric produced,</w:t>
      </w:r>
    </w:p>
    <w:p>
      <w:pPr>
        <w:pStyle w:val="ListeParagraf"/>
        <w:numPr>
          <w:ilvl w:val="0"/>
          <w:numId w:val="1"/>
        </w:numPr>
        <w:spacing w:after="60"/>
        <w:jc w:val="both"/>
      </w:pPr>
      <w:r>
        <w:rPr>
          <w:rFonts w:ascii="Calibri" w:hAnsi="Calibri" w:cs="Arial"/>
          <w:sz w:val="24"/>
          <w:szCs w:val="24"/>
        </w:rPr>
        <w:t xml:space="preserve">Compliance rate of test results with legal and ZDHC limits (%),</w:t>
      </w:r>
    </w:p>
    <w:p>
      <w:pPr>
        <w:pStyle w:val="ListeParagraf"/>
        <w:numPr>
          <w:ilvl w:val="0"/>
          <w:numId w:val="1"/>
        </w:numPr>
        <w:spacing w:after="60"/>
        <w:jc w:val="both"/>
      </w:pPr>
      <w:r>
        <w:rPr>
          <w:rFonts w:ascii="Calibri" w:hAnsi="Calibri" w:cs="Arial"/>
          <w:sz w:val="24"/>
          <w:szCs w:val="24"/>
        </w:rPr>
        <w:t xml:space="preserve">Number of discharge limit exceedances and ETP stoppages,</w:t>
      </w:r>
    </w:p>
    <w:p>
      <w:pPr>
        <w:pStyle w:val="ListeParagraf"/>
        <w:numPr>
          <w:ilvl w:val="0"/>
          <w:numId w:val="1"/>
        </w:numPr>
        <w:spacing w:after="60"/>
        <w:jc w:val="both"/>
      </w:pPr>
      <w:r>
        <w:rPr>
          <w:rFonts w:ascii="Calibri" w:hAnsi="Calibri" w:cs="Arial"/>
          <w:sz w:val="24"/>
          <w:szCs w:val="24"/>
        </w:rPr>
        <w:t xml:space="preserve">Quantity of sludge generated and disposed of (tonnes).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Daily ETP Log and Annual Environmental Monitoring Plan</w:t>
      </w:r>
    </w:p>
    <w:p>
      <w:pPr>
        <w:pStyle w:val="ListeParagraf"/>
        <w:numPr>
          <w:ilvl w:val="0"/>
          <w:numId w:val="1"/>
        </w:numPr>
        <w:spacing w:after="60"/>
        <w:jc w:val="both"/>
      </w:pPr>
      <w:r>
        <w:rPr>
          <w:rFonts w:ascii="Calibri" w:hAnsi="Calibri" w:cs="Arial"/>
          <w:sz w:val="24"/>
          <w:szCs w:val="24"/>
        </w:rPr>
        <w:t xml:space="preserve">Internal and External Wastewater Test Reports</w:t>
      </w:r>
    </w:p>
    <w:p>
      <w:pPr>
        <w:pStyle w:val="ListeParagraf"/>
        <w:numPr>
          <w:ilvl w:val="0"/>
          <w:numId w:val="1"/>
        </w:numPr>
        <w:spacing w:after="60"/>
        <w:jc w:val="both"/>
      </w:pPr>
      <w:r>
        <w:rPr>
          <w:rFonts w:ascii="Calibri" w:hAnsi="Calibri" w:cs="Arial"/>
          <w:sz w:val="24"/>
          <w:szCs w:val="24"/>
        </w:rPr>
        <w:t xml:space="preserve">Facility Drainage Map</w:t>
      </w:r>
    </w:p>
    <w:p>
      <w:pPr>
        <w:pStyle w:val="ListeParagraf"/>
        <w:numPr>
          <w:ilvl w:val="0"/>
          <w:numId w:val="1"/>
        </w:numPr>
        <w:spacing w:after="60"/>
        <w:jc w:val="both"/>
      </w:pPr>
      <w:r>
        <w:rPr>
          <w:rFonts w:ascii="Calibri" w:hAnsi="Calibri" w:cs="Arial"/>
          <w:sz w:val="24"/>
          <w:szCs w:val="24"/>
        </w:rPr>
        <w:t xml:space="preserve">Sludge Waste Transfer Documents</w:t>
      </w:r>
    </w:p>
    <w:p>
      <w:pPr>
        <w:pStyle w:val="ListeParagraf"/>
        <w:numPr>
          <w:ilvl w:val="0"/>
          <w:numId w:val="1"/>
        </w:numPr>
        <w:spacing w:after="60"/>
        <w:jc w:val="both"/>
      </w:pPr>
      <w:r>
        <w:rPr>
          <w:rFonts w:ascii="Calibri" w:hAnsi="Calibri" w:cs="Arial"/>
          <w:sz w:val="24"/>
          <w:szCs w:val="24"/>
        </w:rPr>
        <w:t xml:space="preserve">EMS.ÇV.TL.19.03. Wastewater Treatment Plant Operation Instruction</w:t>
      </w:r>
    </w:p>
    <w:p>
      <w:pPr>
        <w:pStyle w:val="ListeParagraf"/>
        <w:numPr>
          <w:ilvl w:val="0"/>
          <w:numId w:val="1"/>
        </w:numPr>
        <w:spacing w:after="60"/>
        <w:jc w:val="both"/>
      </w:pPr>
      <w:r>
        <w:rPr>
          <w:rFonts w:ascii="Calibri" w:hAnsi="Calibri" w:cs="Arial"/>
          <w:sz w:val="24"/>
          <w:szCs w:val="24"/>
        </w:rPr>
        <w:t xml:space="preserve">EMS.ÇV.TL.19.02. Hazardous Waste Temporary Storage Area Instruction</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Environmental Officer, and also after any limit exceedance or change in legal or customer requirements. Suggestions from the ETP and dyehouse teams are evaluated for continual improvement.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جمع مياه الصرف الناتجة في شركة إيروغلو للتريكو (EMS) ومعالجتها ورصدها وتصريفها، بحيث يتم دائمًا الالتزام بحدود التصريف الواردة في التشريعات المصرية المعمول بها ومتطلبات العملاء (بما في ذلك إرشادات ZDHC لمياه الصرف) ومنع التلوث.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مياه الصرف الصناعي الناتجة عن الصباغة والغسيل والتجهيز والطباعة والمختبر،</w:t>
      </w:r>
    </w:p>
    <w:p>
      <w:pPr>
        <w:pStyle w:val="ListeParagraf"/>
        <w:bidi/>
        <w:spacing w:after="80"/>
        <w:ind w:left="0" w:right="709"/>
        <w:jc w:val="both"/>
      </w:pPr>
      <w:r>
        <w:rPr>
          <w:rFonts w:ascii="Calibri" w:hAnsi="Calibri" w:cs="Arial"/>
          <w:rtl/>
          <w:sz w:val="24"/>
          <w:szCs w:val="24"/>
        </w:rPr>
        <w:t xml:space="preserve">• مياه تصريف الغلايات ومياه التبريد ومياه غسيل الأرضيات،</w:t>
      </w:r>
    </w:p>
    <w:p>
      <w:pPr>
        <w:pStyle w:val="ListeParagraf"/>
        <w:bidi/>
        <w:spacing w:after="80"/>
        <w:ind w:left="0" w:right="709"/>
        <w:jc w:val="both"/>
      </w:pPr>
      <w:r>
        <w:rPr>
          <w:rFonts w:ascii="Calibri" w:hAnsi="Calibri" w:cs="Arial"/>
          <w:rtl/>
          <w:sz w:val="24"/>
          <w:szCs w:val="24"/>
        </w:rPr>
        <w:t xml:space="preserve">• مياه الصرف الصحي من دورات المياه والمقصف والمطبخ،</w:t>
      </w:r>
    </w:p>
    <w:p>
      <w:pPr>
        <w:pStyle w:val="ListeParagraf"/>
        <w:bidi/>
        <w:spacing w:after="80"/>
        <w:ind w:left="0" w:right="709"/>
        <w:jc w:val="both"/>
      </w:pPr>
      <w:r>
        <w:rPr>
          <w:rFonts w:ascii="Calibri" w:hAnsi="Calibri" w:cs="Arial"/>
          <w:rtl/>
          <w:sz w:val="24"/>
          <w:szCs w:val="24"/>
        </w:rPr>
        <w:t xml:space="preserve">• تشغيل محطة معالجة مياه الصرف (ETP) والحمأة الناتجة عنها.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يدير هذا الإجراء ويخطط لأخذ عينات مياه الصرف ويقيّم النتائج ويرفع التقارير إلى الإدارة والعملاء.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 مشرف محطة المعالجة:</w:t>
      </w:r>
      <w:r>
        <w:rPr>
          <w:rFonts w:ascii="Calibri" w:hAnsi="Calibri" w:cs="Arial"/>
          <w:rtl/>
          <w:sz w:val="24"/>
          <w:szCs w:val="24"/>
        </w:rPr>
        <w:t xml:space="preserve"> يشغّل المحطة وفق تعليمات التشغيل، ويجري الفحوصات اليومية، ويحتفظ بسجل المحطة.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يبلغ المحطة مسبقًا بأي تصريف غير معتاد (مثل تفريغ الأحواض أو تنظيف الآلات) ويقلل استهلاك المياه والكيماويات.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يصون المضخات وأجهزة التهوية وأنظمة الجرعات وعدادات التدفق في المحطة.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ETP:</w:t>
      </w:r>
      <w:r>
        <w:rPr>
          <w:rFonts w:ascii="Calibri" w:hAnsi="Calibri" w:cs="Arial"/>
          <w:rtl/>
          <w:sz w:val="24"/>
          <w:szCs w:val="24"/>
        </w:rPr>
        <w:t xml:space="preserve"> محطة معالجة مياه الصرف؛ وهي المنشأة التي تُعالج فيها مياه الصرف الصناعي قبل تصريفها.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المعايير التقليدية:</w:t>
      </w:r>
      <w:r>
        <w:rPr>
          <w:rFonts w:ascii="Calibri" w:hAnsi="Calibri" w:cs="Arial"/>
          <w:rtl/>
          <w:sz w:val="24"/>
          <w:szCs w:val="24"/>
        </w:rPr>
        <w:t xml:space="preserve"> معايير مثل الأس الهيدروجيني ودرجة الحرارة وCOD وBOD وTSS واللون والزيوت والشحوم، وتُستخدم لتقييم جودة مياه الصرف.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الحمأة:</w:t>
      </w:r>
      <w:r>
        <w:rPr>
          <w:rFonts w:ascii="Calibri" w:hAnsi="Calibri" w:cs="Arial"/>
          <w:rtl/>
          <w:sz w:val="24"/>
          <w:szCs w:val="24"/>
        </w:rPr>
        <w:t xml:space="preserve"> البقايا الصلبة التي تُفصل عن مياه الصرف أثناء المعالجة.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التجميع والفصل</w:t>
      </w:r>
    </w:p>
    <w:p>
      <w:pPr>
        <w:pStyle w:val="ListeParagraf"/>
        <w:bidi/>
        <w:spacing w:after="80"/>
        <w:ind w:left="0" w:right="709"/>
        <w:jc w:val="both"/>
      </w:pPr>
      <w:r>
        <w:rPr>
          <w:rFonts w:ascii="Calibri" w:hAnsi="Calibri" w:cs="Arial"/>
          <w:rtl/>
          <w:sz w:val="24"/>
          <w:szCs w:val="24"/>
        </w:rPr>
        <w:t xml:space="preserve">1.1. تُجمع مياه الصرف الصناعي ومياه الصرف الصحي ومياه الأمطار في خطوط منفصلة ومعرّفة؛ ويُمنع توصيل مياه العمليات بمصارف مياه الأمطار.</w:t>
      </w:r>
    </w:p>
    <w:p>
      <w:pPr>
        <w:pStyle w:val="ListeParagraf"/>
        <w:bidi/>
        <w:spacing w:after="80"/>
        <w:ind w:left="0" w:right="709"/>
        <w:jc w:val="both"/>
      </w:pPr>
      <w:r>
        <w:rPr>
          <w:rFonts w:ascii="Calibri" w:hAnsi="Calibri" w:cs="Arial"/>
          <w:rtl/>
          <w:sz w:val="24"/>
          <w:szCs w:val="24"/>
        </w:rPr>
        <w:t xml:space="preserve">1.2. يُحافظ على تحديث خريطة الصرف للمنشأة، وتُوسم المصارف في الموقع.</w:t>
      </w:r>
    </w:p>
    <w:p>
      <w:pPr>
        <w:pStyle w:val="ListeParagraf"/>
        <w:bidi/>
        <w:spacing w:after="80"/>
        <w:ind w:left="0" w:right="709"/>
        <w:jc w:val="both"/>
      </w:pPr>
      <w:r>
        <w:rPr>
          <w:rFonts w:ascii="Calibri" w:hAnsi="Calibri" w:cs="Arial"/>
          <w:rtl/>
          <w:sz w:val="24"/>
          <w:szCs w:val="24"/>
        </w:rPr>
        <w:t xml:space="preserve">1.3. تُغلق مصارف الأرضيات في مخازن الكيماويات وغرفة التوزيع أو تُوصل بأحواض احتواء حتى لا تصل الانسكابات إلى المصارف.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المعالجة</w:t>
      </w:r>
    </w:p>
    <w:p>
      <w:pPr>
        <w:pStyle w:val="ListeParagraf"/>
        <w:bidi/>
        <w:spacing w:after="80"/>
        <w:ind w:left="0" w:right="709"/>
        <w:jc w:val="both"/>
      </w:pPr>
      <w:r>
        <w:rPr>
          <w:rFonts w:ascii="Calibri" w:hAnsi="Calibri" w:cs="Arial"/>
          <w:rtl/>
          <w:sz w:val="24"/>
          <w:szCs w:val="24"/>
        </w:rPr>
        <w:t xml:space="preserve">2.1. تُشغّل المحطة بشكل مستمر أثناء عمل المصبغة. وتُضبط المراحل الرئيسية (المعادلة وتصحيح الأس الهيدروجيني والمعالجة البيولوجية أو الفيزيائية الكيميائية والترسيب) وفق تعليمات تشغيل محطة معالجة مياه الصرف (EMS.ÇV.TL.19.03.).</w:t>
      </w:r>
    </w:p>
    <w:p>
      <w:pPr>
        <w:pStyle w:val="ListeParagraf"/>
        <w:bidi/>
        <w:spacing w:after="80"/>
        <w:ind w:left="0" w:right="709"/>
        <w:jc w:val="both"/>
      </w:pPr>
      <w:r>
        <w:rPr>
          <w:rFonts w:ascii="Calibri" w:hAnsi="Calibri" w:cs="Arial"/>
          <w:rtl/>
          <w:sz w:val="24"/>
          <w:szCs w:val="24"/>
        </w:rPr>
        <w:t xml:space="preserve">2.2. يفحص مشغل المحطة ويسجل في كل وردية على الأقل: تدفق الدخول والخروج والأس الهيدروجيني ودرجة الحرارة والأكسجين المذاب والمظهر المرئي (اللون والرغوة).</w:t>
      </w:r>
    </w:p>
    <w:p>
      <w:pPr>
        <w:pStyle w:val="ListeParagraf"/>
        <w:bidi/>
        <w:spacing w:after="80"/>
        <w:ind w:left="0" w:right="709"/>
        <w:jc w:val="both"/>
      </w:pPr>
      <w:r>
        <w:rPr>
          <w:rFonts w:ascii="Calibri" w:hAnsi="Calibri" w:cs="Arial"/>
          <w:rtl/>
          <w:sz w:val="24"/>
          <w:szCs w:val="24"/>
        </w:rPr>
        <w:t xml:space="preserve">2.3. تُعتمد كيماويات المعالجة وفقًا للإجراء EMS.KM.PRO.20.01. وتُضاف بالجرعات المحددة في التعليمات.</w:t>
      </w:r>
    </w:p>
    <w:p>
      <w:pPr>
        <w:pStyle w:val="ListeParagraf"/>
        <w:bidi/>
        <w:spacing w:after="80"/>
        <w:ind w:left="0" w:right="709"/>
        <w:jc w:val="both"/>
      </w:pPr>
      <w:r>
        <w:rPr>
          <w:rFonts w:ascii="Calibri" w:hAnsi="Calibri" w:cs="Arial"/>
          <w:rtl/>
          <w:sz w:val="24"/>
          <w:szCs w:val="24"/>
        </w:rPr>
        <w:t xml:space="preserve">2.4. يُمنع منعًا باتًا تجاوز المحطة أو تخفيف مياه الصرف لتحقيق الحدود المسموح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أخذ العينات والاختبار</w:t>
      </w:r>
    </w:p>
    <w:p>
      <w:pPr>
        <w:pStyle w:val="ListeParagraf"/>
        <w:bidi/>
        <w:spacing w:after="80"/>
        <w:ind w:left="0" w:right="709"/>
        <w:jc w:val="both"/>
      </w:pPr>
      <w:r>
        <w:rPr>
          <w:rFonts w:ascii="Calibri" w:hAnsi="Calibri" w:cs="Arial"/>
          <w:rtl/>
          <w:sz w:val="24"/>
          <w:szCs w:val="24"/>
        </w:rPr>
        <w:t xml:space="preserve">3.1. تُجرى الاختبارات الداخلية (الأس الهيدروجيني وCOD وTSS واللون) بالتكرار المحدد في مختبر EMS.</w:t>
      </w:r>
    </w:p>
    <w:p>
      <w:pPr>
        <w:pStyle w:val="ListeParagraf"/>
        <w:bidi/>
        <w:spacing w:after="80"/>
        <w:ind w:left="0" w:right="709"/>
        <w:jc w:val="both"/>
      </w:pPr>
      <w:r>
        <w:rPr>
          <w:rFonts w:ascii="Calibri" w:hAnsi="Calibri" w:cs="Arial"/>
          <w:rtl/>
          <w:sz w:val="24"/>
          <w:szCs w:val="24"/>
        </w:rPr>
        <w:t xml:space="preserve">3.2. تُختبر مياه الصرف والحمأة من قبل مختبر خارجي معتمد مرتين في السنة على الأقل، بحيث تشمل المعايير التقليدية والمعادن الثقيلة ومواد ZDHC MRSL، وتُرفع النتائج إلى منصة ZDHC Gateway عندما يطلب العملاء ذلك.</w:t>
      </w:r>
    </w:p>
    <w:p>
      <w:pPr>
        <w:pStyle w:val="ListeParagraf"/>
        <w:bidi/>
        <w:spacing w:after="80"/>
        <w:ind w:left="0" w:right="709"/>
        <w:jc w:val="both"/>
      </w:pPr>
      <w:r>
        <w:rPr>
          <w:rFonts w:ascii="Calibri" w:hAnsi="Calibri" w:cs="Arial"/>
          <w:rtl/>
          <w:sz w:val="24"/>
          <w:szCs w:val="24"/>
        </w:rPr>
        <w:t xml:space="preserve">3.3. تُحدد نقاط أخذ العينات وطرقها وتكرارها والمسؤولون عنها في خطة الرصد البيئي السنوية التي يعدها مسؤول البيئة؛ وتُعاير عدادات التدفق وأجهزة قياس الأس الهيدروجيني والأكسجين المذاب وفقًا للإجراء EMS.LB.PRO.09.02.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الحالات غير العادية</w:t>
      </w:r>
    </w:p>
    <w:p>
      <w:pPr>
        <w:pStyle w:val="ListeParagraf"/>
        <w:bidi/>
        <w:spacing w:after="80"/>
        <w:ind w:left="0" w:right="709"/>
        <w:jc w:val="both"/>
      </w:pPr>
      <w:r>
        <w:rPr>
          <w:rFonts w:ascii="Calibri" w:hAnsi="Calibri" w:cs="Arial"/>
          <w:rtl/>
          <w:sz w:val="24"/>
          <w:szCs w:val="24"/>
        </w:rPr>
        <w:t xml:space="preserve">4.1. إذا تجاوزت إحدى النتائج الحد المسموح به أو تعطلت المحطة، يبلغ مشغل المحطة مسؤول البيئة فورًا.</w:t>
      </w:r>
    </w:p>
    <w:p>
      <w:pPr>
        <w:pStyle w:val="ListeParagraf"/>
        <w:bidi/>
        <w:spacing w:after="80"/>
        <w:ind w:left="0" w:right="709"/>
        <w:jc w:val="both"/>
      </w:pPr>
      <w:r>
        <w:rPr>
          <w:rFonts w:ascii="Calibri" w:hAnsi="Calibri" w:cs="Arial"/>
          <w:rtl/>
          <w:sz w:val="24"/>
          <w:szCs w:val="24"/>
        </w:rPr>
        <w:t xml:space="preserve">4.2. يُوقف التصريف أو يُخفض (بالاحتفاظ في حوض المعادلة أو تقليل إنتاج الصباغة) حتى تُحل المشكلة.</w:t>
      </w:r>
    </w:p>
    <w:p>
      <w:pPr>
        <w:pStyle w:val="ListeParagraf"/>
        <w:bidi/>
        <w:spacing w:after="80"/>
        <w:ind w:left="0" w:right="709"/>
        <w:jc w:val="both"/>
      </w:pPr>
      <w:r>
        <w:rPr>
          <w:rFonts w:ascii="Calibri" w:hAnsi="Calibri" w:cs="Arial"/>
          <w:rtl/>
          <w:sz w:val="24"/>
          <w:szCs w:val="24"/>
        </w:rPr>
        <w:t xml:space="preserve">4.3. يُحقق في السبب ويُفتح إجراء تصحيحي وفقًا للإجراء EMS.YS.PRO.11.02.، ويُبلغ الجهات الرسمية والعملاء عند الاقتضاء.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إدارة الحمأة</w:t>
      </w:r>
    </w:p>
    <w:p>
      <w:pPr>
        <w:pStyle w:val="ListeParagraf"/>
        <w:bidi/>
        <w:spacing w:after="80"/>
        <w:ind w:left="0" w:right="709"/>
        <w:jc w:val="both"/>
      </w:pPr>
      <w:r>
        <w:rPr>
          <w:rFonts w:ascii="Calibri" w:hAnsi="Calibri" w:cs="Arial"/>
          <w:rtl/>
          <w:sz w:val="24"/>
          <w:szCs w:val="24"/>
        </w:rPr>
        <w:t xml:space="preserve">5.1. تُجفف الحمأة وتُخزن في منطقة مغطاة وغير منفذة، ولا تُسلم إلا لمقاولي نفايات مرخصين، مع الاحتفاظ بمستندات نقل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تُتابع المؤشرات التالية شهريًا وتُعرض في مراجعة الإدارة:</w:t>
      </w:r>
    </w:p>
    <w:p>
      <w:pPr>
        <w:pStyle w:val="ListeParagraf"/>
        <w:numPr>
          <w:ilvl w:val="0"/>
          <w:numId w:val="1"/>
        </w:numPr>
        <w:bidi/>
        <w:spacing w:after="60"/>
        <w:jc w:val="both"/>
      </w:pPr>
      <w:r>
        <w:rPr>
          <w:rFonts w:ascii="Calibri" w:hAnsi="Calibri" w:cs="Arial"/>
          <w:rtl/>
          <w:sz w:val="24"/>
          <w:szCs w:val="24"/>
        </w:rPr>
        <w:t xml:space="preserve">حجم مياه الصرف (م³) واستهلاك المياه لكل كيلوغرام من القماش المنتج،</w:t>
      </w:r>
    </w:p>
    <w:p>
      <w:pPr>
        <w:pStyle w:val="ListeParagraf"/>
        <w:numPr>
          <w:ilvl w:val="0"/>
          <w:numId w:val="1"/>
        </w:numPr>
        <w:bidi/>
        <w:spacing w:after="60"/>
        <w:jc w:val="both"/>
      </w:pPr>
      <w:r>
        <w:rPr>
          <w:rFonts w:ascii="Calibri" w:hAnsi="Calibri" w:cs="Arial"/>
          <w:rtl/>
          <w:sz w:val="24"/>
          <w:szCs w:val="24"/>
        </w:rPr>
        <w:t xml:space="preserve">نسبة مطابقة نتائج الاختبارات للحدود القانونية وحدود ZDHC (%)،</w:t>
      </w:r>
    </w:p>
    <w:p>
      <w:pPr>
        <w:pStyle w:val="ListeParagraf"/>
        <w:numPr>
          <w:ilvl w:val="0"/>
          <w:numId w:val="1"/>
        </w:numPr>
        <w:bidi/>
        <w:spacing w:after="60"/>
        <w:jc w:val="both"/>
      </w:pPr>
      <w:r>
        <w:rPr>
          <w:rFonts w:ascii="Calibri" w:hAnsi="Calibri" w:cs="Arial"/>
          <w:rtl/>
          <w:sz w:val="24"/>
          <w:szCs w:val="24"/>
        </w:rPr>
        <w:t xml:space="preserve">عدد حالات تجاوز حدود التصريف وتوقفات المحطة،</w:t>
      </w:r>
    </w:p>
    <w:p>
      <w:pPr>
        <w:pStyle w:val="ListeParagraf"/>
        <w:numPr>
          <w:ilvl w:val="0"/>
          <w:numId w:val="1"/>
        </w:numPr>
        <w:bidi/>
        <w:spacing w:after="60"/>
        <w:jc w:val="both"/>
      </w:pPr>
      <w:r>
        <w:rPr>
          <w:rFonts w:ascii="Calibri" w:hAnsi="Calibri" w:cs="Arial"/>
          <w:rtl/>
          <w:sz w:val="24"/>
          <w:szCs w:val="24"/>
        </w:rPr>
        <w:t xml:space="preserve">كمية الحمأة المتولدة والمتخلص منها (بالأطنان).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السجل اليومي للمحطة وخطة الرصد البيئي السنوية</w:t>
      </w:r>
    </w:p>
    <w:p>
      <w:pPr>
        <w:pStyle w:val="ListeParagraf"/>
        <w:numPr>
          <w:ilvl w:val="0"/>
          <w:numId w:val="1"/>
        </w:numPr>
        <w:bidi/>
        <w:spacing w:after="60"/>
        <w:jc w:val="both"/>
      </w:pPr>
      <w:r>
        <w:rPr>
          <w:rFonts w:ascii="Calibri" w:hAnsi="Calibri" w:cs="Arial"/>
          <w:rtl/>
          <w:sz w:val="24"/>
          <w:szCs w:val="24"/>
        </w:rPr>
        <w:t xml:space="preserve">تقارير اختبار مياه الصرف الداخلية والخارجية</w:t>
      </w:r>
    </w:p>
    <w:p>
      <w:pPr>
        <w:pStyle w:val="ListeParagraf"/>
        <w:numPr>
          <w:ilvl w:val="0"/>
          <w:numId w:val="1"/>
        </w:numPr>
        <w:bidi/>
        <w:spacing w:after="60"/>
        <w:jc w:val="both"/>
      </w:pPr>
      <w:r>
        <w:rPr>
          <w:rFonts w:ascii="Calibri" w:hAnsi="Calibri" w:cs="Arial"/>
          <w:rtl/>
          <w:sz w:val="24"/>
          <w:szCs w:val="24"/>
        </w:rPr>
        <w:t xml:space="preserve">خريطة الصرف للمنشأة</w:t>
      </w:r>
    </w:p>
    <w:p>
      <w:pPr>
        <w:pStyle w:val="ListeParagraf"/>
        <w:numPr>
          <w:ilvl w:val="0"/>
          <w:numId w:val="1"/>
        </w:numPr>
        <w:bidi/>
        <w:spacing w:after="60"/>
        <w:jc w:val="both"/>
      </w:pPr>
      <w:r>
        <w:rPr>
          <w:rFonts w:ascii="Calibri" w:hAnsi="Calibri" w:cs="Arial"/>
          <w:rtl/>
          <w:sz w:val="24"/>
          <w:szCs w:val="24"/>
        </w:rPr>
        <w:t xml:space="preserve">مستندات نقل نفايات الحمأة</w:t>
      </w:r>
    </w:p>
    <w:p>
      <w:pPr>
        <w:pStyle w:val="ListeParagraf"/>
        <w:numPr>
          <w:ilvl w:val="0"/>
          <w:numId w:val="1"/>
        </w:numPr>
        <w:bidi/>
        <w:spacing w:after="60"/>
        <w:jc w:val="both"/>
      </w:pPr>
      <w:r>
        <w:rPr>
          <w:rFonts w:ascii="Calibri" w:hAnsi="Calibri" w:cs="Arial"/>
          <w:rtl/>
          <w:sz w:val="24"/>
          <w:szCs w:val="24"/>
        </w:rPr>
        <w:t xml:space="preserve">EMS.ÇV.TL.19.03. تعليمات تشغيل محطة معالجة مياه الصرف</w:t>
      </w:r>
    </w:p>
    <w:p>
      <w:pPr>
        <w:pStyle w:val="ListeParagraf"/>
        <w:numPr>
          <w:ilvl w:val="0"/>
          <w:numId w:val="1"/>
        </w:numPr>
        <w:bidi/>
        <w:spacing w:after="60"/>
        <w:jc w:val="both"/>
      </w:pPr>
      <w:r>
        <w:rPr>
          <w:rFonts w:ascii="Calibri" w:hAnsi="Calibri" w:cs="Arial"/>
          <w:rtl/>
          <w:sz w:val="24"/>
          <w:szCs w:val="24"/>
        </w:rPr>
        <w:t xml:space="preserve">EMS.ÇV.TL.19.02. تعليمات منطقة التخزين المؤقت للنفايات الخطرة</w:t>
      </w:r>
    </w:p>
    <w:p>
      <w:pPr>
        <w:pStyle w:val="ListeParagraf"/>
        <w:numPr>
          <w:ilvl w:val="0"/>
          <w:numId w:val="1"/>
        </w:numPr>
        <w:bidi/>
        <w:spacing w:after="60"/>
        <w:jc w:val="both"/>
      </w:pPr>
      <w:r>
        <w:rPr>
          <w:rFonts w:ascii="Calibri" w:hAnsi="Calibri" w:cs="Arial"/>
          <w:rtl/>
          <w:sz w:val="24"/>
          <w:szCs w:val="24"/>
        </w:rPr>
        <w:t xml:space="preserve">EMS.KM.PRO.20.01. إجراء جرد الكيماويات والمطابقة لـ ZDHC MRSL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مسؤول البيئة، وكذلك بعد أي تجاوز للحدود أو تغيير في المتطلبات القانونية أو متطلبات العملاء. وتُقيّم اقتراحات فريقي المحطة والمصبغة من أجل التحسين المستمر.</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WASTEWATER MANAGEMENT AND MONITORING PROCEDURE</w:t>
          </w:r>
        </w:p>
        <w:p>
          <w:pPr>
            <w:pStyle w:val="GvdeMetni2"/>
            <w:bidi/>
            <w:spacing w:line="276" w:lineRule="auto"/>
            <w:jc w:val="center"/>
          </w:pPr>
          <w:r>
            <w:rPr>
              <w:rFonts w:asciiTheme="minorHAnsi" w:hAnsiTheme="minorHAnsi" w:cs="Arial"/>
              <w:b/>
              <w:bCs/>
              <w:color w:val="000000" w:themeColor="text1"/>
              <w:sz w:val="22"/>
              <w:szCs w:val="22"/>
              <w:rtl/>
            </w:rPr>
            <w:t>إجراء إدارة مياه الصرف ورصدها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EMS.ÇV.PRO.19.02.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EMS.ÇV.PRO.19.02. WASTEWATER MANAGEMENT AND MONITORING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