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air emissions and noise generated by the activities of Eroglu Knitting (EMS) are identified, controlled, measured and reduced, in order to protect employees, neighbours and the environment and to comply with applicable Egyptian legislation and customer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Point-source emissions: boiler and thermal oil heater stacks, generators, stenter and dryer exhausts,</w:t>
      </w:r>
    </w:p>
    <w:p>
      <w:pPr>
        <w:pStyle w:val="ListeParagraf"/>
        <w:spacing w:after="80"/>
        <w:ind w:left="709" w:right="0"/>
        <w:jc w:val="both"/>
      </w:pPr>
      <w:r>
        <w:rPr>
          <w:rFonts w:ascii="Calibri" w:hAnsi="Calibri" w:cs="Arial"/>
          <w:sz w:val="24"/>
          <w:szCs w:val="24"/>
        </w:rPr>
        <w:t xml:space="preserve">• Fugitive emissions: dust and lint, solvent and chemical vapours from printing, laboratory and chemical stores,</w:t>
      </w:r>
    </w:p>
    <w:p>
      <w:pPr>
        <w:pStyle w:val="ListeParagraf"/>
        <w:spacing w:after="80"/>
        <w:ind w:left="709" w:right="0"/>
        <w:jc w:val="both"/>
      </w:pPr>
      <w:r>
        <w:rPr>
          <w:rFonts w:ascii="Calibri" w:hAnsi="Calibri" w:cs="Arial"/>
          <w:sz w:val="24"/>
          <w:szCs w:val="24"/>
        </w:rPr>
        <w:t xml:space="preserve">• Refrigerants in air-conditioning and chiller systems (ozone-depleting substances and greenhouse gases),</w:t>
      </w:r>
    </w:p>
    <w:p>
      <w:pPr>
        <w:pStyle w:val="ListeParagraf"/>
        <w:spacing w:after="80"/>
        <w:ind w:left="709" w:right="0"/>
        <w:jc w:val="both"/>
      </w:pPr>
      <w:r>
        <w:rPr>
          <w:rFonts w:ascii="Calibri" w:hAnsi="Calibri" w:cs="Arial"/>
          <w:sz w:val="24"/>
          <w:szCs w:val="24"/>
        </w:rPr>
        <w:t xml:space="preserve">• Noise inside the workplace and at the facility boundary.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Keeps the emission sources inventory, plans measurements, evaluates the results and follows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Maintains burners, filters, scrubbers, exhaust fans and refrigerant systems and keeps combustion and leak check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Evaluates workplace noise and dust exposure and ensures that hearing protection is provided and used.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ventilation and dust collection systems are switched on and used correctly in their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Point Source:</w:t>
      </w:r>
      <w:r>
        <w:rPr>
          <w:rFonts w:ascii="Calibri" w:hAnsi="Calibri" w:cs="Arial"/>
          <w:sz w:val="24"/>
          <w:szCs w:val="24"/>
        </w:rPr>
        <w:t xml:space="preserve"> A fixed, identifiable emission point such as a stack or exhaust 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Fugitive Emission:</w:t>
      </w:r>
      <w:r>
        <w:rPr>
          <w:rFonts w:ascii="Calibri" w:hAnsi="Calibri" w:cs="Arial"/>
          <w:sz w:val="24"/>
          <w:szCs w:val="24"/>
        </w:rPr>
        <w:t xml:space="preserve"> An emission that is not released through a stack or duct, such as dust, vapours or leaks.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ODS:</w:t>
      </w:r>
      <w:r>
        <w:rPr>
          <w:rFonts w:ascii="Calibri" w:hAnsi="Calibri" w:cs="Arial"/>
          <w:sz w:val="24"/>
          <w:szCs w:val="24"/>
        </w:rPr>
        <w:t xml:space="preserve"> Ozone-depleting substances, such as certain refrigerants used in cooling equipment.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dB(A):</w:t>
      </w:r>
      <w:r>
        <w:rPr>
          <w:rFonts w:ascii="Calibri" w:hAnsi="Calibri" w:cs="Arial"/>
          <w:sz w:val="24"/>
          <w:szCs w:val="24"/>
        </w:rPr>
        <w:t xml:space="preserve"> The unit used for measuring sound level as perceived by the human 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INVENTORY OF SOURCES</w:t>
      </w:r>
    </w:p>
    <w:p>
      <w:pPr>
        <w:pStyle w:val="ListeParagraf"/>
        <w:spacing w:after="80"/>
        <w:ind w:left="709" w:right="0"/>
        <w:jc w:val="both"/>
      </w:pPr>
      <w:r>
        <w:rPr>
          <w:rFonts w:ascii="Calibri" w:hAnsi="Calibri" w:cs="Arial"/>
          <w:sz w:val="24"/>
          <w:szCs w:val="24"/>
        </w:rPr>
        <w:t xml:space="preserve">1.1. All emission and noise sources are listed in the Emission Sources Inventory with their location, fuel type, capacity, operating hours and control equipment.</w:t>
      </w:r>
    </w:p>
    <w:p>
      <w:pPr>
        <w:pStyle w:val="ListeParagraf"/>
        <w:spacing w:after="80"/>
        <w:ind w:left="709" w:right="0"/>
        <w:jc w:val="both"/>
      </w:pPr>
      <w:r>
        <w:rPr>
          <w:rFonts w:ascii="Calibri" w:hAnsi="Calibri" w:cs="Arial"/>
          <w:sz w:val="24"/>
          <w:szCs w:val="24"/>
        </w:rPr>
        <w:t xml:space="preserve">1.2. All refrigeration and air-conditioning units are listed with refrigerant type and charge quantity.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OPERATIONAL CONTROL</w:t>
      </w:r>
    </w:p>
    <w:p>
      <w:pPr>
        <w:pStyle w:val="ListeParagraf"/>
        <w:spacing w:after="80"/>
        <w:ind w:left="709" w:right="0"/>
        <w:jc w:val="both"/>
      </w:pPr>
      <w:r>
        <w:rPr>
          <w:rFonts w:ascii="Calibri" w:hAnsi="Calibri" w:cs="Arial"/>
          <w:sz w:val="24"/>
          <w:szCs w:val="24"/>
        </w:rPr>
        <w:t xml:space="preserve">2.1. Boilers and heaters are operated by trained operators; burner tuning and combustion efficiency checks are carried out at least every six months.</w:t>
      </w:r>
    </w:p>
    <w:p>
      <w:pPr>
        <w:pStyle w:val="ListeParagraf"/>
        <w:spacing w:after="80"/>
        <w:ind w:left="709" w:right="0"/>
        <w:jc w:val="both"/>
      </w:pPr>
      <w:r>
        <w:rPr>
          <w:rFonts w:ascii="Calibri" w:hAnsi="Calibri" w:cs="Arial"/>
          <w:sz w:val="24"/>
          <w:szCs w:val="24"/>
        </w:rPr>
        <w:t xml:space="preserve">2.2. Stenter exhausts, dust collectors and lint filters are cleaned according to the maintenance plan to prevent emissions and fire risk.</w:t>
      </w:r>
    </w:p>
    <w:p>
      <w:pPr>
        <w:pStyle w:val="ListeParagraf"/>
        <w:spacing w:after="80"/>
        <w:ind w:left="709" w:right="0"/>
        <w:jc w:val="both"/>
      </w:pPr>
      <w:r>
        <w:rPr>
          <w:rFonts w:ascii="Calibri" w:hAnsi="Calibri" w:cs="Arial"/>
          <w:sz w:val="24"/>
          <w:szCs w:val="24"/>
        </w:rPr>
        <w:t xml:space="preserve">2.3. Solvent and chemical containers are kept closed, and local exhaust ventilation is used in printing, laboratory and chemical dispensing areas.</w:t>
      </w:r>
    </w:p>
    <w:p>
      <w:pPr>
        <w:pStyle w:val="ListeParagraf"/>
        <w:spacing w:after="80"/>
        <w:ind w:left="709" w:right="0"/>
        <w:jc w:val="both"/>
      </w:pPr>
      <w:r>
        <w:rPr>
          <w:rFonts w:ascii="Calibri" w:hAnsi="Calibri" w:cs="Arial"/>
          <w:sz w:val="24"/>
          <w:szCs w:val="24"/>
        </w:rPr>
        <w:t xml:space="preserve">2.4. Refrigerant systems are checked for leaks periodically; refrigerant work is done only by certified technicians and refrigerants are never vented to the air.</w:t>
      </w:r>
    </w:p>
    <w:p>
      <w:pPr>
        <w:pStyle w:val="ListeParagraf"/>
        <w:spacing w:after="80"/>
        <w:ind w:left="709" w:right="0"/>
        <w:jc w:val="both"/>
      </w:pPr>
      <w:r>
        <w:rPr>
          <w:rFonts w:ascii="Calibri" w:hAnsi="Calibri" w:cs="Arial"/>
          <w:sz w:val="24"/>
          <w:szCs w:val="24"/>
        </w:rPr>
        <w:t xml:space="preserve">2.5. Generators are used only during power cuts or tests, and open burning of any waste on the site is prohibited.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NOISE CONTROL</w:t>
      </w:r>
    </w:p>
    <w:p>
      <w:pPr>
        <w:pStyle w:val="ListeParagraf"/>
        <w:spacing w:after="80"/>
        <w:ind w:left="709" w:right="0"/>
        <w:jc w:val="both"/>
      </w:pPr>
      <w:r>
        <w:rPr>
          <w:rFonts w:ascii="Calibri" w:hAnsi="Calibri" w:cs="Arial"/>
          <w:sz w:val="24"/>
          <w:szCs w:val="24"/>
        </w:rPr>
        <w:t xml:space="preserve">3.1. Noisy machines are fitted with silencers, enclosures or anti-vibration mounts where possible.</w:t>
      </w:r>
    </w:p>
    <w:p>
      <w:pPr>
        <w:pStyle w:val="ListeParagraf"/>
        <w:spacing w:after="80"/>
        <w:ind w:left="709" w:right="0"/>
        <w:jc w:val="both"/>
      </w:pPr>
      <w:r>
        <w:rPr>
          <w:rFonts w:ascii="Calibri" w:hAnsi="Calibri" w:cs="Arial"/>
          <w:sz w:val="24"/>
          <w:szCs w:val="24"/>
        </w:rPr>
        <w:t xml:space="preserve">3.2. Areas where noise exceeds 85 dB(A) are marked as hearing protection zones and employees are provided with hearing protection.</w:t>
      </w:r>
    </w:p>
    <w:p>
      <w:pPr>
        <w:pStyle w:val="ListeParagraf"/>
        <w:spacing w:after="80"/>
        <w:ind w:left="709" w:right="0"/>
        <w:jc w:val="both"/>
      </w:pPr>
      <w:r>
        <w:rPr>
          <w:rFonts w:ascii="Calibri" w:hAnsi="Calibri" w:cs="Arial"/>
          <w:sz w:val="24"/>
          <w:szCs w:val="24"/>
        </w:rPr>
        <w:t xml:space="preserve">3.3. Noisy outdoor works (e.g. construction, loading at night) are planned to minimise disturbance to neighbours.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MEASUREMENT</w:t>
      </w:r>
    </w:p>
    <w:p>
      <w:pPr>
        <w:pStyle w:val="ListeParagraf"/>
        <w:spacing w:after="80"/>
        <w:ind w:left="709" w:right="0"/>
        <w:jc w:val="both"/>
      </w:pPr>
      <w:r>
        <w:rPr>
          <w:rFonts w:ascii="Calibri" w:hAnsi="Calibri" w:cs="Arial"/>
          <w:sz w:val="24"/>
          <w:szCs w:val="24"/>
        </w:rPr>
        <w:t xml:space="preserve">4.1. Stack emissions are measured by an accredited external laboratory at least once a year, and workplace and boundary noise is measured at least once a year, according to the annual environmental monitoring plan.</w:t>
      </w:r>
    </w:p>
    <w:p>
      <w:pPr>
        <w:pStyle w:val="ListeParagraf"/>
        <w:spacing w:after="80"/>
        <w:ind w:left="709" w:right="0"/>
        <w:jc w:val="both"/>
      </w:pPr>
      <w:r>
        <w:rPr>
          <w:rFonts w:ascii="Calibri" w:hAnsi="Calibri" w:cs="Arial"/>
          <w:sz w:val="24"/>
          <w:szCs w:val="24"/>
        </w:rPr>
        <w:t xml:space="preserve">4.2. Fuel and refrigerant consumption are recorded monthly and used to calculate greenhouse gas emissions according to EMS.SR.PRO.16.02.</w:t>
      </w:r>
    </w:p>
    <w:p>
      <w:pPr>
        <w:pStyle w:val="ListeParagraf"/>
        <w:spacing w:after="80"/>
        <w:ind w:left="709" w:right="0"/>
        <w:jc w:val="both"/>
      </w:pPr>
      <w:r>
        <w:rPr>
          <w:rFonts w:ascii="Calibri" w:hAnsi="Calibri" w:cs="Arial"/>
          <w:sz w:val="24"/>
          <w:szCs w:val="24"/>
        </w:rPr>
        <w:t xml:space="preserve">4.3. If a result exceeds the limit, the source is investigated, corrective action is taken and a re-measurement is made.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following indicators are reported in the management review:</w:t>
      </w:r>
    </w:p>
    <w:p>
      <w:pPr>
        <w:pStyle w:val="ListeParagraf"/>
        <w:numPr>
          <w:ilvl w:val="0"/>
          <w:numId w:val="1"/>
        </w:numPr>
        <w:spacing w:after="60"/>
        <w:jc w:val="both"/>
      </w:pPr>
      <w:r>
        <w:rPr>
          <w:rFonts w:ascii="Calibri" w:hAnsi="Calibri" w:cs="Arial"/>
          <w:sz w:val="24"/>
          <w:szCs w:val="24"/>
        </w:rPr>
        <w:t xml:space="preserve">Compliance rate of stack emission and noise measurements (%),</w:t>
      </w:r>
    </w:p>
    <w:p>
      <w:pPr>
        <w:pStyle w:val="ListeParagraf"/>
        <w:numPr>
          <w:ilvl w:val="0"/>
          <w:numId w:val="1"/>
        </w:numPr>
        <w:spacing w:after="60"/>
        <w:jc w:val="both"/>
      </w:pPr>
      <w:r>
        <w:rPr>
          <w:rFonts w:ascii="Calibri" w:hAnsi="Calibri" w:cs="Arial"/>
          <w:sz w:val="24"/>
          <w:szCs w:val="24"/>
        </w:rPr>
        <w:t xml:space="preserve">Fuel consumption per kg of production and related CO2 emissions,</w:t>
      </w:r>
    </w:p>
    <w:p>
      <w:pPr>
        <w:pStyle w:val="ListeParagraf"/>
        <w:numPr>
          <w:ilvl w:val="0"/>
          <w:numId w:val="1"/>
        </w:numPr>
        <w:spacing w:after="60"/>
        <w:jc w:val="both"/>
      </w:pPr>
      <w:r>
        <w:rPr>
          <w:rFonts w:ascii="Calibri" w:hAnsi="Calibri" w:cs="Arial"/>
          <w:sz w:val="24"/>
          <w:szCs w:val="24"/>
        </w:rPr>
        <w:t xml:space="preserve">Refrigerant top-up quantities and number of leaks,</w:t>
      </w:r>
    </w:p>
    <w:p>
      <w:pPr>
        <w:pStyle w:val="ListeParagraf"/>
        <w:numPr>
          <w:ilvl w:val="0"/>
          <w:numId w:val="1"/>
        </w:numPr>
        <w:spacing w:after="60"/>
        <w:jc w:val="both"/>
      </w:pPr>
      <w:r>
        <w:rPr>
          <w:rFonts w:ascii="Calibri" w:hAnsi="Calibri" w:cs="Arial"/>
          <w:sz w:val="24"/>
          <w:szCs w:val="24"/>
        </w:rPr>
        <w:t xml:space="preserve">Number of complaints from neighbours about smoke, odour or noise.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Emission Sources Inventory</w:t>
      </w:r>
    </w:p>
    <w:p>
      <w:pPr>
        <w:pStyle w:val="ListeParagraf"/>
        <w:numPr>
          <w:ilvl w:val="0"/>
          <w:numId w:val="1"/>
        </w:numPr>
        <w:spacing w:after="60"/>
        <w:jc w:val="both"/>
      </w:pPr>
      <w:r>
        <w:rPr>
          <w:rFonts w:ascii="Calibri" w:hAnsi="Calibri" w:cs="Arial"/>
          <w:sz w:val="24"/>
          <w:szCs w:val="24"/>
        </w:rPr>
        <w:t xml:space="preserve">Stack Emission and Noise Measurement Reports</w:t>
      </w:r>
    </w:p>
    <w:p>
      <w:pPr>
        <w:pStyle w:val="ListeParagraf"/>
        <w:numPr>
          <w:ilvl w:val="0"/>
          <w:numId w:val="1"/>
        </w:numPr>
        <w:spacing w:after="60"/>
        <w:jc w:val="both"/>
      </w:pPr>
      <w:r>
        <w:rPr>
          <w:rFonts w:ascii="Calibri" w:hAnsi="Calibri" w:cs="Arial"/>
          <w:sz w:val="24"/>
          <w:szCs w:val="24"/>
        </w:rPr>
        <w:t xml:space="preserve">Burner Tuning and Refrigerant Leak Check Records</w:t>
      </w:r>
    </w:p>
    <w:p>
      <w:pPr>
        <w:pStyle w:val="ListeParagraf"/>
        <w:numPr>
          <w:ilvl w:val="0"/>
          <w:numId w:val="1"/>
        </w:numPr>
        <w:spacing w:after="60"/>
        <w:jc w:val="both"/>
      </w:pPr>
      <w:r>
        <w:rPr>
          <w:rFonts w:ascii="Calibri" w:hAnsi="Calibri" w:cs="Arial"/>
          <w:sz w:val="24"/>
          <w:szCs w:val="24"/>
        </w:rPr>
        <w:t xml:space="preserve">EMS.SR.PRO.16.02. Energy and Greenhouse Gas Management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EMS.İS.PRO.18.03. Personal Protective Equipment (PPE)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Environmental Officer, and also when a new emission source is added or a complaint is received. Measurement results and employee suggestions are used for continual improvement.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الانبعاثات الهوائية والضوضاء الناتجة عن أنشطة شركة إيروغلو للتريكو (EMS) والتحكم فيها وقياسها وخفضها، وذلك لحماية الموظفين والجيران والبيئة والالتزام بالتشريعات المصرية المعمول بها ومتطلبات العملاء.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الانبعاثات من المصادر الثابتة: مداخن الغلايات وسخانات الزيت الحراري والمولدات وعوادم آلات الرام والمجففات،</w:t>
      </w:r>
    </w:p>
    <w:p>
      <w:pPr>
        <w:pStyle w:val="ListeParagraf"/>
        <w:bidi/>
        <w:spacing w:after="80"/>
        <w:ind w:left="0" w:right="709"/>
        <w:jc w:val="both"/>
      </w:pPr>
      <w:r>
        <w:rPr>
          <w:rFonts w:ascii="Calibri" w:hAnsi="Calibri" w:cs="Arial"/>
          <w:rtl/>
          <w:sz w:val="24"/>
          <w:szCs w:val="24"/>
        </w:rPr>
        <w:t xml:space="preserve">• الانبعاثات المتسربة: الغبار والوبر وأبخرة المذيبات والكيماويات من الطباعة والمختبر ومخازن الكيماويات،</w:t>
      </w:r>
    </w:p>
    <w:p>
      <w:pPr>
        <w:pStyle w:val="ListeParagraf"/>
        <w:bidi/>
        <w:spacing w:after="80"/>
        <w:ind w:left="0" w:right="709"/>
        <w:jc w:val="both"/>
      </w:pPr>
      <w:r>
        <w:rPr>
          <w:rFonts w:ascii="Calibri" w:hAnsi="Calibri" w:cs="Arial"/>
          <w:rtl/>
          <w:sz w:val="24"/>
          <w:szCs w:val="24"/>
        </w:rPr>
        <w:t xml:space="preserve">• غازات التبريد في أنظمة التكييف والمبردات (المواد المستنفدة للأوزون والغازات الدفيئة)،</w:t>
      </w:r>
    </w:p>
    <w:p>
      <w:pPr>
        <w:pStyle w:val="ListeParagraf"/>
        <w:bidi/>
        <w:spacing w:after="80"/>
        <w:ind w:left="0" w:right="709"/>
        <w:jc w:val="both"/>
      </w:pPr>
      <w:r>
        <w:rPr>
          <w:rFonts w:ascii="Calibri" w:hAnsi="Calibri" w:cs="Arial"/>
          <w:rtl/>
          <w:sz w:val="24"/>
          <w:szCs w:val="24"/>
        </w:rPr>
        <w:t xml:space="preserve">• الضوضاء داخل مكان العمل وعند حدود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يحتفظ بسجل مصادر الانبعاثات، ويخطط للقياسات، ويقيّم النتائج، ويتابع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يصون الحراقات والمرشحات وأجهزة الغسل وشفاطات العادم وأنظمة التبريد، ويحتفظ بسجلات فحص الاحتراق والتسرب.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يقيّم تعرض العاملين للضوضاء والغبار، ويضمن توفير واقيات السمع واستخدامها.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تشغيل أنظمة التهوية وتجميع الغبار واستخدامها بشكل صحيح في مناطقهم.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المصدر الثابت:</w:t>
      </w:r>
      <w:r>
        <w:rPr>
          <w:rFonts w:ascii="Calibri" w:hAnsi="Calibri" w:cs="Arial"/>
          <w:rtl/>
          <w:sz w:val="24"/>
          <w:szCs w:val="24"/>
        </w:rPr>
        <w:t xml:space="preserve"> نقطة انبعاث ثابتة ومحددة مثل المدخنة أو مجرى العادم.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الانبعاث المتسرب:</w:t>
      </w:r>
      <w:r>
        <w:rPr>
          <w:rFonts w:ascii="Calibri" w:hAnsi="Calibri" w:cs="Arial"/>
          <w:rtl/>
          <w:sz w:val="24"/>
          <w:szCs w:val="24"/>
        </w:rPr>
        <w:t xml:space="preserve"> انبعاث لا يخرج عبر مدخنة أو مجرى، مثل الغبار أو الأبخرة أو التسربات.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ODS:</w:t>
      </w:r>
      <w:r>
        <w:rPr>
          <w:rFonts w:ascii="Calibri" w:hAnsi="Calibri" w:cs="Arial"/>
          <w:rtl/>
          <w:sz w:val="24"/>
          <w:szCs w:val="24"/>
        </w:rPr>
        <w:t xml:space="preserve"> المواد المستنفدة للأوزون، مثل بعض غازات التبريد المستخدمة في معدات التبريد.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dB(A):</w:t>
      </w:r>
      <w:r>
        <w:rPr>
          <w:rFonts w:ascii="Calibri" w:hAnsi="Calibri" w:cs="Arial"/>
          <w:rtl/>
          <w:sz w:val="24"/>
          <w:szCs w:val="24"/>
        </w:rPr>
        <w:t xml:space="preserve"> الوحدة المستخدمة لقياس مستوى الصوت كما تدركه الأذن البشرية.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حصر المصادر</w:t>
      </w:r>
    </w:p>
    <w:p>
      <w:pPr>
        <w:pStyle w:val="ListeParagraf"/>
        <w:bidi/>
        <w:spacing w:after="80"/>
        <w:ind w:left="0" w:right="709"/>
        <w:jc w:val="both"/>
      </w:pPr>
      <w:r>
        <w:rPr>
          <w:rFonts w:ascii="Calibri" w:hAnsi="Calibri" w:cs="Arial"/>
          <w:rtl/>
          <w:sz w:val="24"/>
          <w:szCs w:val="24"/>
        </w:rPr>
        <w:t xml:space="preserve">1.1. تُدرج جميع مصادر الانبعاثات والضوضاء في سجل مصادر الانبعاثات مع موقعها ونوع الوقود والسعة وساعات التشغيل ومعدات التحكم.</w:t>
      </w:r>
    </w:p>
    <w:p>
      <w:pPr>
        <w:pStyle w:val="ListeParagraf"/>
        <w:bidi/>
        <w:spacing w:after="80"/>
        <w:ind w:left="0" w:right="709"/>
        <w:jc w:val="both"/>
      </w:pPr>
      <w:r>
        <w:rPr>
          <w:rFonts w:ascii="Calibri" w:hAnsi="Calibri" w:cs="Arial"/>
          <w:rtl/>
          <w:sz w:val="24"/>
          <w:szCs w:val="24"/>
        </w:rPr>
        <w:t xml:space="preserve">1.2. تُدرج جميع وحدات التبريد والتكييف مع نوع غاز التبريد وكمية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التحكم التشغيلي</w:t>
      </w:r>
    </w:p>
    <w:p>
      <w:pPr>
        <w:pStyle w:val="ListeParagraf"/>
        <w:bidi/>
        <w:spacing w:after="80"/>
        <w:ind w:left="0" w:right="709"/>
        <w:jc w:val="both"/>
      </w:pPr>
      <w:r>
        <w:rPr>
          <w:rFonts w:ascii="Calibri" w:hAnsi="Calibri" w:cs="Arial"/>
          <w:rtl/>
          <w:sz w:val="24"/>
          <w:szCs w:val="24"/>
        </w:rPr>
        <w:t xml:space="preserve">2.1. يشغّل الغلايات والسخانات مشغلون مدربون؛ ويُجرى ضبط الحراقات وفحص كفاءة الاحتراق كل ستة أشهر على الأقل.</w:t>
      </w:r>
    </w:p>
    <w:p>
      <w:pPr>
        <w:pStyle w:val="ListeParagraf"/>
        <w:bidi/>
        <w:spacing w:after="80"/>
        <w:ind w:left="0" w:right="709"/>
        <w:jc w:val="both"/>
      </w:pPr>
      <w:r>
        <w:rPr>
          <w:rFonts w:ascii="Calibri" w:hAnsi="Calibri" w:cs="Arial"/>
          <w:rtl/>
          <w:sz w:val="24"/>
          <w:szCs w:val="24"/>
        </w:rPr>
        <w:t xml:space="preserve">2.2. تُنظف عوادم آلات الرام وأجهزة تجميع الغبار ومرشحات الوبر وفق خطة الصيانة لمنع الانبعاثات وخطر الحريق.</w:t>
      </w:r>
    </w:p>
    <w:p>
      <w:pPr>
        <w:pStyle w:val="ListeParagraf"/>
        <w:bidi/>
        <w:spacing w:after="80"/>
        <w:ind w:left="0" w:right="709"/>
        <w:jc w:val="both"/>
      </w:pPr>
      <w:r>
        <w:rPr>
          <w:rFonts w:ascii="Calibri" w:hAnsi="Calibri" w:cs="Arial"/>
          <w:rtl/>
          <w:sz w:val="24"/>
          <w:szCs w:val="24"/>
        </w:rPr>
        <w:t xml:space="preserve">2.3. تُبقى عبوات المذيبات والكيماويات مغلقة، وتُستخدم التهوية الموضعية في مناطق الطباعة والمختبر وتوزيع الكيماويات.</w:t>
      </w:r>
    </w:p>
    <w:p>
      <w:pPr>
        <w:pStyle w:val="ListeParagraf"/>
        <w:bidi/>
        <w:spacing w:after="80"/>
        <w:ind w:left="0" w:right="709"/>
        <w:jc w:val="both"/>
      </w:pPr>
      <w:r>
        <w:rPr>
          <w:rFonts w:ascii="Calibri" w:hAnsi="Calibri" w:cs="Arial"/>
          <w:rtl/>
          <w:sz w:val="24"/>
          <w:szCs w:val="24"/>
        </w:rPr>
        <w:t xml:space="preserve">2.4. تُفحص أنظمة التبريد دوريًا للكشف عن التسربات؛ ولا يقوم بأعمال غازات التبريد إلا فنيون معتمدون، ولا يُطلق غاز التبريد في الهواء أبدًا.</w:t>
      </w:r>
    </w:p>
    <w:p>
      <w:pPr>
        <w:pStyle w:val="ListeParagraf"/>
        <w:bidi/>
        <w:spacing w:after="80"/>
        <w:ind w:left="0" w:right="709"/>
        <w:jc w:val="both"/>
      </w:pPr>
      <w:r>
        <w:rPr>
          <w:rFonts w:ascii="Calibri" w:hAnsi="Calibri" w:cs="Arial"/>
          <w:rtl/>
          <w:sz w:val="24"/>
          <w:szCs w:val="24"/>
        </w:rPr>
        <w:t xml:space="preserve">2.5. لا تُستخدم المولدات إلا أثناء انقطاع الكهرباء أو الاختبارات، ويُمنع الحرق المكشوف لأي نفايات في الموقع.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التحكم في الضوضاء</w:t>
      </w:r>
    </w:p>
    <w:p>
      <w:pPr>
        <w:pStyle w:val="ListeParagraf"/>
        <w:bidi/>
        <w:spacing w:after="80"/>
        <w:ind w:left="0" w:right="709"/>
        <w:jc w:val="both"/>
      </w:pPr>
      <w:r>
        <w:rPr>
          <w:rFonts w:ascii="Calibri" w:hAnsi="Calibri" w:cs="Arial"/>
          <w:rtl/>
          <w:sz w:val="24"/>
          <w:szCs w:val="24"/>
        </w:rPr>
        <w:t xml:space="preserve">3.1. تُزود الآلات ذات الضوضاء العالية بكواتم صوت أو حواجز أو قواعد مضادة للاهتزاز حيثما أمكن.</w:t>
      </w:r>
    </w:p>
    <w:p>
      <w:pPr>
        <w:pStyle w:val="ListeParagraf"/>
        <w:bidi/>
        <w:spacing w:after="80"/>
        <w:ind w:left="0" w:right="709"/>
        <w:jc w:val="both"/>
      </w:pPr>
      <w:r>
        <w:rPr>
          <w:rFonts w:ascii="Calibri" w:hAnsi="Calibri" w:cs="Arial"/>
          <w:rtl/>
          <w:sz w:val="24"/>
          <w:szCs w:val="24"/>
        </w:rPr>
        <w:t xml:space="preserve">3.2. تُحدد المناطق التي تتجاوز فيها الضوضاء 85 dB(A) كمناطق إلزامية لواقيات السمع، وتُوفر واقيات السمع للعاملين.</w:t>
      </w:r>
    </w:p>
    <w:p>
      <w:pPr>
        <w:pStyle w:val="ListeParagraf"/>
        <w:bidi/>
        <w:spacing w:after="80"/>
        <w:ind w:left="0" w:right="709"/>
        <w:jc w:val="both"/>
      </w:pPr>
      <w:r>
        <w:rPr>
          <w:rFonts w:ascii="Calibri" w:hAnsi="Calibri" w:cs="Arial"/>
          <w:rtl/>
          <w:sz w:val="24"/>
          <w:szCs w:val="24"/>
        </w:rPr>
        <w:t xml:space="preserve">3.3. تُخطط الأعمال الخارجية ذات الضوضاء العالية (مثل أعمال البناء أو التحميل ليلًا) بما يقلل الإزعاج للجيران.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القياس</w:t>
      </w:r>
    </w:p>
    <w:p>
      <w:pPr>
        <w:pStyle w:val="ListeParagraf"/>
        <w:bidi/>
        <w:spacing w:after="80"/>
        <w:ind w:left="0" w:right="709"/>
        <w:jc w:val="both"/>
      </w:pPr>
      <w:r>
        <w:rPr>
          <w:rFonts w:ascii="Calibri" w:hAnsi="Calibri" w:cs="Arial"/>
          <w:rtl/>
          <w:sz w:val="24"/>
          <w:szCs w:val="24"/>
        </w:rPr>
        <w:t xml:space="preserve">4.1. تُقاس انبعاثات المداخن من قبل مختبر خارجي معتمد مرة واحدة على الأقل سنويًا، وتُقاس الضوضاء في مكان العمل وعند حدود المنشأة مرة واحدة على الأقل سنويًا، وفقًا لخطة الرصد البيئي السنوية.</w:t>
      </w:r>
    </w:p>
    <w:p>
      <w:pPr>
        <w:pStyle w:val="ListeParagraf"/>
        <w:bidi/>
        <w:spacing w:after="80"/>
        <w:ind w:left="0" w:right="709"/>
        <w:jc w:val="both"/>
      </w:pPr>
      <w:r>
        <w:rPr>
          <w:rFonts w:ascii="Calibri" w:hAnsi="Calibri" w:cs="Arial"/>
          <w:rtl/>
          <w:sz w:val="24"/>
          <w:szCs w:val="24"/>
        </w:rPr>
        <w:t xml:space="preserve">4.2. يُسجل استهلاك الوقود وغازات التبريد شهريًا ويُستخدم لحساب انبعاثات الغازات الدفيئة وفقًا للإجراء EMS.SR.PRO.16.02.</w:t>
      </w:r>
    </w:p>
    <w:p>
      <w:pPr>
        <w:pStyle w:val="ListeParagraf"/>
        <w:bidi/>
        <w:spacing w:after="80"/>
        <w:ind w:left="0" w:right="709"/>
        <w:jc w:val="both"/>
      </w:pPr>
      <w:r>
        <w:rPr>
          <w:rFonts w:ascii="Calibri" w:hAnsi="Calibri" w:cs="Arial"/>
          <w:rtl/>
          <w:sz w:val="24"/>
          <w:szCs w:val="24"/>
        </w:rPr>
        <w:t xml:space="preserve">4.3. إذا تجاوزت إحدى النتائج الحد المسموح به، يُحقق في المصدر ويُتخذ إجراء تصحيحي ويُعاد القياس.</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تُعرض المؤشرات التالية في مراجعة الإدارة:</w:t>
      </w:r>
    </w:p>
    <w:p>
      <w:pPr>
        <w:pStyle w:val="ListeParagraf"/>
        <w:numPr>
          <w:ilvl w:val="0"/>
          <w:numId w:val="1"/>
        </w:numPr>
        <w:bidi/>
        <w:spacing w:after="60"/>
        <w:jc w:val="both"/>
      </w:pPr>
      <w:r>
        <w:rPr>
          <w:rFonts w:ascii="Calibri" w:hAnsi="Calibri" w:cs="Arial"/>
          <w:rtl/>
          <w:sz w:val="24"/>
          <w:szCs w:val="24"/>
        </w:rPr>
        <w:t xml:space="preserve">نسبة مطابقة قياسات انبعاثات المداخن والضوضاء (%)،</w:t>
      </w:r>
    </w:p>
    <w:p>
      <w:pPr>
        <w:pStyle w:val="ListeParagraf"/>
        <w:numPr>
          <w:ilvl w:val="0"/>
          <w:numId w:val="1"/>
        </w:numPr>
        <w:bidi/>
        <w:spacing w:after="60"/>
        <w:jc w:val="both"/>
      </w:pPr>
      <w:r>
        <w:rPr>
          <w:rFonts w:ascii="Calibri" w:hAnsi="Calibri" w:cs="Arial"/>
          <w:rtl/>
          <w:sz w:val="24"/>
          <w:szCs w:val="24"/>
        </w:rPr>
        <w:t xml:space="preserve">استهلاك الوقود لكل كيلوغرام من الإنتاج وانبعاثات CO2 المرتبطة به،</w:t>
      </w:r>
    </w:p>
    <w:p>
      <w:pPr>
        <w:pStyle w:val="ListeParagraf"/>
        <w:numPr>
          <w:ilvl w:val="0"/>
          <w:numId w:val="1"/>
        </w:numPr>
        <w:bidi/>
        <w:spacing w:after="60"/>
        <w:jc w:val="both"/>
      </w:pPr>
      <w:r>
        <w:rPr>
          <w:rFonts w:ascii="Calibri" w:hAnsi="Calibri" w:cs="Arial"/>
          <w:rtl/>
          <w:sz w:val="24"/>
          <w:szCs w:val="24"/>
        </w:rPr>
        <w:t xml:space="preserve">كميات إعادة شحن غازات التبريد وعدد التسربات،</w:t>
      </w:r>
    </w:p>
    <w:p>
      <w:pPr>
        <w:pStyle w:val="ListeParagraf"/>
        <w:numPr>
          <w:ilvl w:val="0"/>
          <w:numId w:val="1"/>
        </w:numPr>
        <w:bidi/>
        <w:spacing w:after="60"/>
        <w:jc w:val="both"/>
      </w:pPr>
      <w:r>
        <w:rPr>
          <w:rFonts w:ascii="Calibri" w:hAnsi="Calibri" w:cs="Arial"/>
          <w:rtl/>
          <w:sz w:val="24"/>
          <w:szCs w:val="24"/>
        </w:rPr>
        <w:t xml:space="preserve">عدد شكاوى الجيران بشأن الدخان أو الروائح أو الضوضاء.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مصادر الانبعاثات</w:t>
      </w:r>
    </w:p>
    <w:p>
      <w:pPr>
        <w:pStyle w:val="ListeParagraf"/>
        <w:numPr>
          <w:ilvl w:val="0"/>
          <w:numId w:val="1"/>
        </w:numPr>
        <w:bidi/>
        <w:spacing w:after="60"/>
        <w:jc w:val="both"/>
      </w:pPr>
      <w:r>
        <w:rPr>
          <w:rFonts w:ascii="Calibri" w:hAnsi="Calibri" w:cs="Arial"/>
          <w:rtl/>
          <w:sz w:val="24"/>
          <w:szCs w:val="24"/>
        </w:rPr>
        <w:t xml:space="preserve">تقارير قياس انبعاثات المداخن والضوضاء</w:t>
      </w:r>
    </w:p>
    <w:p>
      <w:pPr>
        <w:pStyle w:val="ListeParagraf"/>
        <w:numPr>
          <w:ilvl w:val="0"/>
          <w:numId w:val="1"/>
        </w:numPr>
        <w:bidi/>
        <w:spacing w:after="60"/>
        <w:jc w:val="both"/>
      </w:pPr>
      <w:r>
        <w:rPr>
          <w:rFonts w:ascii="Calibri" w:hAnsi="Calibri" w:cs="Arial"/>
          <w:rtl/>
          <w:sz w:val="24"/>
          <w:szCs w:val="24"/>
        </w:rPr>
        <w:t xml:space="preserve">سجلات ضبط الحراقات وفحص تسرب غازات التبريد</w:t>
      </w:r>
    </w:p>
    <w:p>
      <w:pPr>
        <w:pStyle w:val="ListeParagraf"/>
        <w:numPr>
          <w:ilvl w:val="0"/>
          <w:numId w:val="1"/>
        </w:numPr>
        <w:bidi/>
        <w:spacing w:after="60"/>
        <w:jc w:val="both"/>
      </w:pPr>
      <w:r>
        <w:rPr>
          <w:rFonts w:ascii="Calibri" w:hAnsi="Calibri" w:cs="Arial"/>
          <w:rtl/>
          <w:sz w:val="24"/>
          <w:szCs w:val="24"/>
        </w:rPr>
        <w:t xml:space="preserve">EMS.SR.PRO.16.02. إجراء إدارة الطاقة والغازات الدفيئة</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EMS.İS.PRO.18.03. إجراء إدارة معدات الحماية الشخصية (PPE)</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مسؤول البيئة، وكذلك عند إضافة مصدر انبعاث جديد أو ورود شكوى. وتُستخدم نتائج القياسات واقتراحات الموظفين من أجل التحسين المستمر.</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AIR EMISSIONS AND NOISE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الانبعاثات الهوائية والضوضاء</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EMS.ÇV.PRO.19.03.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EMS.ÇV.PRO.19.03. AIR EMISSIONS AND NOISE MANAGEMENT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