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employees of Eroglu Knitting (EMS) segregate waste at the point where it is generated, so that recyclable, non-hazardous and hazardous waste are not mixed, recycling is maximised and hazardous waste is disposed of safely.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production departments, offices, the canteen, warehouses, workshops and contractors working in the EMS facility.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Employees:</w:t>
      </w:r>
      <w:r>
        <w:rPr>
          <w:rFonts w:ascii="Calibri" w:hAnsi="Calibri" w:cs="Arial"/>
          <w:sz w:val="24"/>
          <w:szCs w:val="24"/>
        </w:rPr>
        <w:t xml:space="preserve"> Put each type of waste into the correct colour-coded bin and keep bins closed and clean.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Supervisors:</w:t>
      </w:r>
      <w:r>
        <w:rPr>
          <w:rFonts w:ascii="Calibri" w:hAnsi="Calibri" w:cs="Arial"/>
          <w:sz w:val="24"/>
          <w:szCs w:val="24"/>
        </w:rPr>
        <w:t xml:space="preserve"> Check segregation in their area every shift and correct wrong practices immediately.</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Waste Collection Staff:</w:t>
      </w:r>
      <w:r>
        <w:rPr>
          <w:rFonts w:ascii="Calibri" w:hAnsi="Calibri" w:cs="Arial"/>
          <w:sz w:val="24"/>
          <w:szCs w:val="24"/>
        </w:rPr>
        <w:t xml:space="preserve"> Collect the bins, take the waste to the central waste area, weigh it and record it.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Officer:</w:t>
      </w:r>
      <w:r>
        <w:rPr>
          <w:rFonts w:ascii="Calibri" w:hAnsi="Calibri" w:cs="Arial"/>
          <w:sz w:val="24"/>
          <w:szCs w:val="24"/>
        </w:rPr>
        <w:t xml:space="preserve"> Provides bins and signs, trains employees and checks segregation during site inspections.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Hazardous Waste:</w:t>
      </w:r>
      <w:r>
        <w:rPr>
          <w:rFonts w:ascii="Calibri" w:hAnsi="Calibri" w:cs="Arial"/>
          <w:sz w:val="24"/>
          <w:szCs w:val="24"/>
        </w:rPr>
        <w:t xml:space="preserve"> Waste with hazardous properties, such as empty chemical containers, used oil, contaminated rags, batteries, fluorescent lamps and ETP sludge.</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Recyclable Waste:</w:t>
      </w:r>
      <w:r>
        <w:rPr>
          <w:rFonts w:ascii="Calibri" w:hAnsi="Calibri" w:cs="Arial"/>
          <w:sz w:val="24"/>
          <w:szCs w:val="24"/>
        </w:rPr>
        <w:t xml:space="preserve"> Clean waste that can be reused or recycled, such as fabric scraps, cardboard, paper, plastic film, yarn cones and metal.</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WASTE TYPES AND BIN COLOURS</w:t>
      </w:r>
    </w:p>
    <w:p>
      <w:pPr>
        <w:pStyle w:val="ListeParagraf"/>
        <w:spacing w:after="80"/>
        <w:ind w:left="709" w:right="0"/>
        <w:jc w:val="both"/>
      </w:pPr>
      <w:r>
        <w:rPr>
          <w:rFonts w:ascii="Calibri" w:hAnsi="Calibri" w:cs="Arial"/>
          <w:sz w:val="24"/>
          <w:szCs w:val="24"/>
        </w:rPr>
        <w:t xml:space="preserve">1.1. Use the bins as shown on the sign above each waste station:</w:t>
      </w:r>
    </w:p>
    <w:p>
      <w:pPr>
        <w:pStyle w:val="ListeParagraf"/>
        <w:numPr>
          <w:ilvl w:val="0"/>
          <w:numId w:val="1"/>
        </w:numPr>
        <w:spacing w:after="60"/>
        <w:jc w:val="both"/>
      </w:pPr>
      <w:r>
        <w:rPr>
          <w:rFonts w:ascii="Calibri" w:hAnsi="Calibri" w:cs="Arial"/>
          <w:b/>
          <w:bCs/>
          <w:sz w:val="24"/>
          <w:szCs w:val="24"/>
        </w:rPr>
        <w:t xml:space="preserve">Blue:</w:t>
      </w:r>
      <w:r>
        <w:rPr>
          <w:rFonts w:ascii="Calibri" w:hAnsi="Calibri" w:cs="Arial"/>
          <w:sz w:val="24"/>
          <w:szCs w:val="24"/>
        </w:rPr>
        <w:t xml:space="preserve"> paper and cardboard (cartons, paper tubes, markers and patterns),</w:t>
      </w:r>
    </w:p>
    <w:p>
      <w:pPr>
        <w:pStyle w:val="ListeParagraf"/>
        <w:numPr>
          <w:ilvl w:val="0"/>
          <w:numId w:val="1"/>
        </w:numPr>
        <w:spacing w:after="60"/>
        <w:jc w:val="both"/>
      </w:pPr>
      <w:r>
        <w:rPr>
          <w:rFonts w:ascii="Calibri" w:hAnsi="Calibri" w:cs="Arial"/>
          <w:b/>
          <w:bCs/>
          <w:sz w:val="24"/>
          <w:szCs w:val="24"/>
        </w:rPr>
        <w:t xml:space="preserve">Yellow:</w:t>
      </w:r>
      <w:r>
        <w:rPr>
          <w:rFonts w:ascii="Calibri" w:hAnsi="Calibri" w:cs="Arial"/>
          <w:sz w:val="24"/>
          <w:szCs w:val="24"/>
        </w:rPr>
        <w:t xml:space="preserve"> plastic (polybags, film, yarn cones, strapping),</w:t>
      </w:r>
    </w:p>
    <w:p>
      <w:pPr>
        <w:pStyle w:val="ListeParagraf"/>
        <w:numPr>
          <w:ilvl w:val="0"/>
          <w:numId w:val="1"/>
        </w:numPr>
        <w:spacing w:after="60"/>
        <w:jc w:val="both"/>
      </w:pPr>
      <w:r>
        <w:rPr>
          <w:rFonts w:ascii="Calibri" w:hAnsi="Calibri" w:cs="Arial"/>
          <w:b/>
          <w:bCs/>
          <w:sz w:val="24"/>
          <w:szCs w:val="24"/>
        </w:rPr>
        <w:t xml:space="preserve">Green / labelled sacks:</w:t>
      </w:r>
      <w:r>
        <w:rPr>
          <w:rFonts w:ascii="Calibri" w:hAnsi="Calibri" w:cs="Arial"/>
          <w:sz w:val="24"/>
          <w:szCs w:val="24"/>
        </w:rPr>
        <w:t xml:space="preserve"> fabric scraps and cutting waste, kept separate by fibre type where required (cotton, polyester, recycled or organic material),</w:t>
      </w:r>
    </w:p>
    <w:p>
      <w:pPr>
        <w:pStyle w:val="ListeParagraf"/>
        <w:numPr>
          <w:ilvl w:val="0"/>
          <w:numId w:val="1"/>
        </w:numPr>
        <w:spacing w:after="60"/>
        <w:jc w:val="both"/>
      </w:pPr>
      <w:r>
        <w:rPr>
          <w:rFonts w:ascii="Calibri" w:hAnsi="Calibri" w:cs="Arial"/>
          <w:b/>
          <w:bCs/>
          <w:sz w:val="24"/>
          <w:szCs w:val="24"/>
        </w:rPr>
        <w:t xml:space="preserve">Grey:</w:t>
      </w:r>
      <w:r>
        <w:rPr>
          <w:rFonts w:ascii="Calibri" w:hAnsi="Calibri" w:cs="Arial"/>
          <w:sz w:val="24"/>
          <w:szCs w:val="24"/>
        </w:rPr>
        <w:t xml:space="preserve"> metal (scrap metal, staples; broken needles only in the closed needle box),</w:t>
      </w:r>
    </w:p>
    <w:p>
      <w:pPr>
        <w:pStyle w:val="ListeParagraf"/>
        <w:numPr>
          <w:ilvl w:val="0"/>
          <w:numId w:val="1"/>
        </w:numPr>
        <w:spacing w:after="60"/>
        <w:jc w:val="both"/>
      </w:pPr>
      <w:r>
        <w:rPr>
          <w:rFonts w:ascii="Calibri" w:hAnsi="Calibri" w:cs="Arial"/>
          <w:b/>
          <w:bCs/>
          <w:sz w:val="24"/>
          <w:szCs w:val="24"/>
        </w:rPr>
        <w:t xml:space="preserve">Red:</w:t>
      </w:r>
      <w:r>
        <w:rPr>
          <w:rFonts w:ascii="Calibri" w:hAnsi="Calibri" w:cs="Arial"/>
          <w:sz w:val="24"/>
          <w:szCs w:val="24"/>
        </w:rPr>
        <w:t xml:space="preserve"> hazardous waste (oily rags, chemical-contaminated gloves and wipes, empty chemical containers, batteries, lamps),</w:t>
      </w:r>
    </w:p>
    <w:p>
      <w:pPr>
        <w:pStyle w:val="ListeParagraf"/>
        <w:numPr>
          <w:ilvl w:val="0"/>
          <w:numId w:val="1"/>
        </w:numPr>
        <w:spacing w:after="60"/>
        <w:jc w:val="both"/>
      </w:pPr>
      <w:r>
        <w:rPr>
          <w:rFonts w:ascii="Calibri" w:hAnsi="Calibri" w:cs="Arial"/>
          <w:b/>
          <w:bCs/>
          <w:sz w:val="24"/>
          <w:szCs w:val="24"/>
        </w:rPr>
        <w:t xml:space="preserve">Black:</w:t>
      </w:r>
      <w:r>
        <w:rPr>
          <w:rFonts w:ascii="Calibri" w:hAnsi="Calibri" w:cs="Arial"/>
          <w:sz w:val="24"/>
          <w:szCs w:val="24"/>
        </w:rPr>
        <w:t xml:space="preserve"> general non-recyclable waste (canteen food waste, floor sweepings).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DAILY PRACTICE</w:t>
      </w:r>
    </w:p>
    <w:p>
      <w:pPr>
        <w:pStyle w:val="ListeParagraf"/>
        <w:spacing w:after="80"/>
        <w:ind w:left="709" w:right="0"/>
        <w:jc w:val="both"/>
      </w:pPr>
      <w:r>
        <w:rPr>
          <w:rFonts w:ascii="Calibri" w:hAnsi="Calibri" w:cs="Arial"/>
          <w:sz w:val="24"/>
          <w:szCs w:val="24"/>
        </w:rPr>
        <w:t xml:space="preserve">2.1. Put waste into the correct bin immediately where it is generated; do not leave waste on the floor or on machines.</w:t>
      </w:r>
    </w:p>
    <w:p>
      <w:pPr>
        <w:pStyle w:val="ListeParagraf"/>
        <w:spacing w:after="80"/>
        <w:ind w:left="709" w:right="0"/>
        <w:jc w:val="both"/>
      </w:pPr>
      <w:r>
        <w:rPr>
          <w:rFonts w:ascii="Calibri" w:hAnsi="Calibri" w:cs="Arial"/>
          <w:sz w:val="24"/>
          <w:szCs w:val="24"/>
        </w:rPr>
        <w:t xml:space="preserve">2.2. Keep fabric scraps clean and dry; collect lint separately according to the lint management procedure.</w:t>
      </w:r>
    </w:p>
    <w:p>
      <w:pPr>
        <w:pStyle w:val="ListeParagraf"/>
        <w:spacing w:after="80"/>
        <w:ind w:left="709" w:right="0"/>
        <w:jc w:val="both"/>
      </w:pPr>
      <w:r>
        <w:rPr>
          <w:rFonts w:ascii="Calibri" w:hAnsi="Calibri" w:cs="Arial"/>
          <w:sz w:val="24"/>
          <w:szCs w:val="24"/>
        </w:rPr>
        <w:t xml:space="preserve">2.3. Empty chemical containers are drained, closed and sent to the hazardous waste area; they are never reused for water or food.</w:t>
      </w:r>
    </w:p>
    <w:p>
      <w:pPr>
        <w:pStyle w:val="ListeParagraf"/>
        <w:spacing w:after="80"/>
        <w:ind w:left="709" w:right="0"/>
        <w:jc w:val="both"/>
      </w:pPr>
      <w:r>
        <w:rPr>
          <w:rFonts w:ascii="Calibri" w:hAnsi="Calibri" w:cs="Arial"/>
          <w:sz w:val="24"/>
          <w:szCs w:val="24"/>
        </w:rPr>
        <w:t xml:space="preserve">2.4. When a bin is three-quarters full, inform the waste collection staff.</w:t>
      </w:r>
    </w:p>
    <w:p>
      <w:pPr>
        <w:pStyle w:val="ListeParagraf"/>
        <w:spacing w:after="80"/>
        <w:ind w:left="709" w:right="0"/>
        <w:jc w:val="both"/>
      </w:pPr>
      <w:r>
        <w:rPr>
          <w:rFonts w:ascii="Calibri" w:hAnsi="Calibri" w:cs="Arial"/>
          <w:sz w:val="24"/>
          <w:szCs w:val="24"/>
        </w:rPr>
        <w:t xml:space="preserve">2.5. Waste collection staff weigh each type of waste and record it on the Waste Record Form before placing it in the central waste area.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PROHIBITIONS</w:t>
      </w:r>
    </w:p>
    <w:p>
      <w:pPr>
        <w:pStyle w:val="ListeParagraf"/>
        <w:numPr>
          <w:ilvl w:val="0"/>
          <w:numId w:val="1"/>
        </w:numPr>
        <w:spacing w:after="60"/>
        <w:jc w:val="both"/>
      </w:pPr>
      <w:r>
        <w:rPr>
          <w:rFonts w:ascii="Calibri" w:hAnsi="Calibri" w:cs="Arial"/>
          <w:sz w:val="24"/>
          <w:szCs w:val="24"/>
        </w:rPr>
        <w:t xml:space="preserve">Do not mix hazardous waste with other waste.</w:t>
      </w:r>
    </w:p>
    <w:p>
      <w:pPr>
        <w:pStyle w:val="ListeParagraf"/>
        <w:numPr>
          <w:ilvl w:val="0"/>
          <w:numId w:val="1"/>
        </w:numPr>
        <w:spacing w:after="60"/>
        <w:jc w:val="both"/>
      </w:pPr>
      <w:r>
        <w:rPr>
          <w:rFonts w:ascii="Calibri" w:hAnsi="Calibri" w:cs="Arial"/>
          <w:sz w:val="24"/>
          <w:szCs w:val="24"/>
        </w:rPr>
        <w:t xml:space="preserve">Do not pour chemicals, oil or dye liquor into drains, sinks or toilets.</w:t>
      </w:r>
    </w:p>
    <w:p>
      <w:pPr>
        <w:pStyle w:val="ListeParagraf"/>
        <w:numPr>
          <w:ilvl w:val="0"/>
          <w:numId w:val="1"/>
        </w:numPr>
        <w:spacing w:after="60"/>
        <w:jc w:val="both"/>
      </w:pPr>
      <w:r>
        <w:rPr>
          <w:rFonts w:ascii="Calibri" w:hAnsi="Calibri" w:cs="Arial"/>
          <w:sz w:val="24"/>
          <w:szCs w:val="24"/>
        </w:rPr>
        <w:t xml:space="preserve">Do not burn any waste on the site.</w:t>
      </w:r>
    </w:p>
    <w:p>
      <w:pPr>
        <w:pStyle w:val="ListeParagraf"/>
        <w:numPr>
          <w:ilvl w:val="0"/>
          <w:numId w:val="1"/>
        </w:numPr>
        <w:spacing w:after="60"/>
        <w:jc w:val="both"/>
      </w:pPr>
      <w:r>
        <w:rPr>
          <w:rFonts w:ascii="Calibri" w:hAnsi="Calibri" w:cs="Arial"/>
          <w:sz w:val="24"/>
          <w:szCs w:val="24"/>
        </w:rPr>
        <w:t xml:space="preserve">Do not remove waste from the site without a waste transfer document approved by the Environmental Officer.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w:t>
      </w:r>
    </w:p>
    <w:p>
      <w:pPr>
        <w:pStyle w:val="ListeParagraf"/>
        <w:spacing w:after="80"/>
        <w:ind w:left="709" w:right="0"/>
        <w:jc w:val="both"/>
      </w:pPr>
      <w:r>
        <w:rPr>
          <w:rFonts w:ascii="Calibri" w:hAnsi="Calibri" w:cs="Arial"/>
          <w:sz w:val="24"/>
          <w:szCs w:val="24"/>
        </w:rPr>
        <w:t xml:space="preserve">4.1. If hazardous waste is found in a wrong bin, do not sort it by hand; inform the supervisor, who arranges safe transfer with suitable gloves.</w:t>
      </w:r>
    </w:p>
    <w:p>
      <w:pPr>
        <w:pStyle w:val="ListeParagraf"/>
        <w:spacing w:after="80"/>
        <w:ind w:left="709" w:right="0"/>
        <w:jc w:val="both"/>
      </w:pPr>
      <w:r>
        <w:rPr>
          <w:rFonts w:ascii="Calibri" w:hAnsi="Calibri" w:cs="Arial"/>
          <w:sz w:val="24"/>
          <w:szCs w:val="24"/>
        </w:rPr>
        <w:t xml:space="preserve">4.2. Any spill during waste handling is cleaned with the spill kit according to EMS.KM.TL.20.03.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Waste Management Procedure and Lint Management Procedure</w:t>
      </w:r>
    </w:p>
    <w:p>
      <w:pPr>
        <w:pStyle w:val="ListeParagraf"/>
        <w:numPr>
          <w:ilvl w:val="0"/>
          <w:numId w:val="1"/>
        </w:numPr>
        <w:spacing w:after="60"/>
        <w:jc w:val="both"/>
      </w:pPr>
      <w:r>
        <w:rPr>
          <w:rFonts w:ascii="Calibri" w:hAnsi="Calibri" w:cs="Arial"/>
          <w:sz w:val="24"/>
          <w:szCs w:val="24"/>
        </w:rPr>
        <w:t xml:space="preserve">Waste Record Form and Waste Transfer Documents</w:t>
      </w:r>
    </w:p>
    <w:p>
      <w:pPr>
        <w:pStyle w:val="ListeParagraf"/>
        <w:numPr>
          <w:ilvl w:val="0"/>
          <w:numId w:val="1"/>
        </w:numPr>
        <w:spacing w:after="60"/>
        <w:jc w:val="both"/>
      </w:pPr>
      <w:r>
        <w:rPr>
          <w:rFonts w:ascii="Calibri" w:hAnsi="Calibri" w:cs="Arial"/>
          <w:sz w:val="24"/>
          <w:szCs w:val="24"/>
        </w:rPr>
        <w:t xml:space="preserve">EMS.ÇV.TL.19.02. Hazardous Waste Temporary Storage Area Instruction</w:t>
      </w:r>
    </w:p>
    <w:p>
      <w:pPr>
        <w:pStyle w:val="ListeParagraf"/>
        <w:numPr>
          <w:ilvl w:val="0"/>
          <w:numId w:val="1"/>
        </w:numPr>
        <w:spacing w:after="60"/>
        <w:jc w:val="both"/>
      </w:pPr>
      <w:r>
        <w:rPr>
          <w:rFonts w:ascii="Calibri" w:hAnsi="Calibri" w:cs="Arial"/>
          <w:sz w:val="24"/>
          <w:szCs w:val="24"/>
        </w:rPr>
        <w:t xml:space="preserve">EMS.KM.TL.20.03. Chemical Spill Kit Use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Environmental Officer checks segregation every month and reports the recycling rate (%) and the quantity of hazardous waste per kg of production. This instruction is reviewed every year or when waste types change.</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توضح هذه التعليمات كيفية قيام موظفي شركة إيروغلو للتريكو (EMS) بفصل النفايات في مكان توليدها، بحيث لا تُخلط النفايات القابلة لإعادة التدوير والنفايات غير الخطرة والنفايات الخطرة، وتُعظم إعادة التدوير، ويُتخلص من النفايات الخطرة بأمان.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أقسام الإنتاج والمكاتب والمقصف والمخازن والورش والمقاولين العاملين في منشأة EMS.</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الموظفون:</w:t>
      </w:r>
      <w:r>
        <w:rPr>
          <w:rFonts w:ascii="Calibri" w:hAnsi="Calibri" w:cs="Arial"/>
          <w:rtl/>
          <w:sz w:val="24"/>
          <w:szCs w:val="24"/>
        </w:rPr>
        <w:t xml:space="preserve"> يضعون كل نوع من النفايات في الحاوية الصحيحة المميزة باللون، ويحافظون على الحاويات مغلقة ونظيفة.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مشرفو الأقسام:</w:t>
      </w:r>
      <w:r>
        <w:rPr>
          <w:rFonts w:ascii="Calibri" w:hAnsi="Calibri" w:cs="Arial"/>
          <w:rtl/>
          <w:sz w:val="24"/>
          <w:szCs w:val="24"/>
        </w:rPr>
        <w:t xml:space="preserve"> يتحققون من فصل النفايات في مناطقهم في كل وردية ويصححون الممارسات الخاطئة فورًا.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عمال جمع النفايات:</w:t>
      </w:r>
      <w:r>
        <w:rPr>
          <w:rFonts w:ascii="Calibri" w:hAnsi="Calibri" w:cs="Arial"/>
          <w:rtl/>
          <w:sz w:val="24"/>
          <w:szCs w:val="24"/>
        </w:rPr>
        <w:t xml:space="preserve"> يجمعون الحاويات وينقلون النفايات إلى منطقة النفايات المركزية ويزنونها ويسجلونها.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البيئة:</w:t>
      </w:r>
      <w:r>
        <w:rPr>
          <w:rFonts w:ascii="Calibri" w:hAnsi="Calibri" w:cs="Arial"/>
          <w:rtl/>
          <w:sz w:val="24"/>
          <w:szCs w:val="24"/>
        </w:rPr>
        <w:t xml:space="preserve"> يوفر الحاويات واللافتات، ويدرب الموظفين، ويتحقق من الفصل أثناء الجولات الميدانية.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النفايات الخطرة:</w:t>
      </w:r>
      <w:r>
        <w:rPr>
          <w:rFonts w:ascii="Calibri" w:hAnsi="Calibri" w:cs="Arial"/>
          <w:rtl/>
          <w:sz w:val="24"/>
          <w:szCs w:val="24"/>
        </w:rPr>
        <w:t xml:space="preserve"> نفايات لها خصائص خطرة، مثل عبوات الكيماويات الفارغة والزيوت المستعملة والخرق الملوثة والبطاريات والمصابيح الفلورية وحمأة محطة المعالجة (ETP).</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النفايات القابلة لإعادة التدوير:</w:t>
      </w:r>
      <w:r>
        <w:rPr>
          <w:rFonts w:ascii="Calibri" w:hAnsi="Calibri" w:cs="Arial"/>
          <w:rtl/>
          <w:sz w:val="24"/>
          <w:szCs w:val="24"/>
        </w:rPr>
        <w:t xml:space="preserve"> نفايات نظيفة يمكن إعادة استخدامها أو تدويرها، مثل قصاصات القماش والكرتون والورق والأغلفة البلاستيكية وبكرات الخيوط والمعادن.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أنواع النفايات وألوان الحاويات</w:t>
      </w:r>
    </w:p>
    <w:p>
      <w:pPr>
        <w:pStyle w:val="ListeParagraf"/>
        <w:bidi/>
        <w:spacing w:after="80"/>
        <w:ind w:left="0" w:right="709"/>
        <w:jc w:val="both"/>
      </w:pPr>
      <w:r>
        <w:rPr>
          <w:rFonts w:ascii="Calibri" w:hAnsi="Calibri" w:cs="Arial"/>
          <w:rtl/>
          <w:sz w:val="24"/>
          <w:szCs w:val="24"/>
        </w:rPr>
        <w:t xml:space="preserve">1.1. استخدم الحاويات كما هو موضح في اللافتة الموجودة فوق كل محطة نفايات:</w:t>
      </w:r>
    </w:p>
    <w:p>
      <w:pPr>
        <w:pStyle w:val="ListeParagraf"/>
        <w:numPr>
          <w:ilvl w:val="0"/>
          <w:numId w:val="1"/>
        </w:numPr>
        <w:bidi/>
        <w:spacing w:after="60"/>
        <w:jc w:val="both"/>
      </w:pPr>
      <w:r>
        <w:rPr>
          <w:rFonts w:ascii="Calibri" w:hAnsi="Calibri" w:cs="Arial"/>
          <w:b/>
          <w:bCs/>
          <w:rtl/>
          <w:sz w:val="24"/>
          <w:szCs w:val="24"/>
        </w:rPr>
        <w:t xml:space="preserve">الأزرق:</w:t>
      </w:r>
      <w:r>
        <w:rPr>
          <w:rFonts w:ascii="Calibri" w:hAnsi="Calibri" w:cs="Arial"/>
          <w:rtl/>
          <w:sz w:val="24"/>
          <w:szCs w:val="24"/>
        </w:rPr>
        <w:t xml:space="preserve"> الورق والكرتون (الكراتين والأنابيب الورقية وورق الماركر والباترونات)،</w:t>
      </w:r>
    </w:p>
    <w:p>
      <w:pPr>
        <w:pStyle w:val="ListeParagraf"/>
        <w:numPr>
          <w:ilvl w:val="0"/>
          <w:numId w:val="1"/>
        </w:numPr>
        <w:bidi/>
        <w:spacing w:after="60"/>
        <w:jc w:val="both"/>
      </w:pPr>
      <w:r>
        <w:rPr>
          <w:rFonts w:ascii="Calibri" w:hAnsi="Calibri" w:cs="Arial"/>
          <w:b/>
          <w:bCs/>
          <w:rtl/>
          <w:sz w:val="24"/>
          <w:szCs w:val="24"/>
        </w:rPr>
        <w:t xml:space="preserve">الأصفر:</w:t>
      </w:r>
      <w:r>
        <w:rPr>
          <w:rFonts w:ascii="Calibri" w:hAnsi="Calibri" w:cs="Arial"/>
          <w:rtl/>
          <w:sz w:val="24"/>
          <w:szCs w:val="24"/>
        </w:rPr>
        <w:t xml:space="preserve"> البلاستيك (الأكياس والأغلفة وبكرات الخيوط وأشرطة الربط)،</w:t>
      </w:r>
    </w:p>
    <w:p>
      <w:pPr>
        <w:pStyle w:val="ListeParagraf"/>
        <w:numPr>
          <w:ilvl w:val="0"/>
          <w:numId w:val="1"/>
        </w:numPr>
        <w:bidi/>
        <w:spacing w:after="60"/>
        <w:jc w:val="both"/>
      </w:pPr>
      <w:r>
        <w:rPr>
          <w:rFonts w:ascii="Calibri" w:hAnsi="Calibri" w:cs="Arial"/>
          <w:b/>
          <w:bCs/>
          <w:rtl/>
          <w:sz w:val="24"/>
          <w:szCs w:val="24"/>
        </w:rPr>
        <w:t xml:space="preserve">الأخضر / الأكياس الموسومة:</w:t>
      </w:r>
      <w:r>
        <w:rPr>
          <w:rFonts w:ascii="Calibri" w:hAnsi="Calibri" w:cs="Arial"/>
          <w:rtl/>
          <w:sz w:val="24"/>
          <w:szCs w:val="24"/>
        </w:rPr>
        <w:t xml:space="preserve"> قصاصات القماش ونفايات القص، مع فصلها حسب نوع الألياف عند الحاجة (القطن والبوليستر والمواد المعاد تدويرها أو العضوية)،</w:t>
      </w:r>
    </w:p>
    <w:p>
      <w:pPr>
        <w:pStyle w:val="ListeParagraf"/>
        <w:numPr>
          <w:ilvl w:val="0"/>
          <w:numId w:val="1"/>
        </w:numPr>
        <w:bidi/>
        <w:spacing w:after="60"/>
        <w:jc w:val="both"/>
      </w:pPr>
      <w:r>
        <w:rPr>
          <w:rFonts w:ascii="Calibri" w:hAnsi="Calibri" w:cs="Arial"/>
          <w:b/>
          <w:bCs/>
          <w:rtl/>
          <w:sz w:val="24"/>
          <w:szCs w:val="24"/>
        </w:rPr>
        <w:t xml:space="preserve">الرمادي:</w:t>
      </w:r>
      <w:r>
        <w:rPr>
          <w:rFonts w:ascii="Calibri" w:hAnsi="Calibri" w:cs="Arial"/>
          <w:rtl/>
          <w:sz w:val="24"/>
          <w:szCs w:val="24"/>
        </w:rPr>
        <w:t xml:space="preserve"> المعادن (الخردة المعدنية والدبابيس؛ أما الإبر المكسورة فتوضع فقط في صندوق الإبر المغلق)،</w:t>
      </w:r>
    </w:p>
    <w:p>
      <w:pPr>
        <w:pStyle w:val="ListeParagraf"/>
        <w:numPr>
          <w:ilvl w:val="0"/>
          <w:numId w:val="1"/>
        </w:numPr>
        <w:bidi/>
        <w:spacing w:after="60"/>
        <w:jc w:val="both"/>
      </w:pPr>
      <w:r>
        <w:rPr>
          <w:rFonts w:ascii="Calibri" w:hAnsi="Calibri" w:cs="Arial"/>
          <w:b/>
          <w:bCs/>
          <w:rtl/>
          <w:sz w:val="24"/>
          <w:szCs w:val="24"/>
        </w:rPr>
        <w:t xml:space="preserve">الأحمر:</w:t>
      </w:r>
      <w:r>
        <w:rPr>
          <w:rFonts w:ascii="Calibri" w:hAnsi="Calibri" w:cs="Arial"/>
          <w:rtl/>
          <w:sz w:val="24"/>
          <w:szCs w:val="24"/>
        </w:rPr>
        <w:t xml:space="preserve"> النفايات الخطرة (الخرق الزيتية والقفازات والمناديل الملوثة بالكيماويات وعبوات الكيماويات الفارغة والبطاريات والمصابيح)،</w:t>
      </w:r>
    </w:p>
    <w:p>
      <w:pPr>
        <w:pStyle w:val="ListeParagraf"/>
        <w:numPr>
          <w:ilvl w:val="0"/>
          <w:numId w:val="1"/>
        </w:numPr>
        <w:bidi/>
        <w:spacing w:after="60"/>
        <w:jc w:val="both"/>
      </w:pPr>
      <w:r>
        <w:rPr>
          <w:rFonts w:ascii="Calibri" w:hAnsi="Calibri" w:cs="Arial"/>
          <w:b/>
          <w:bCs/>
          <w:rtl/>
          <w:sz w:val="24"/>
          <w:szCs w:val="24"/>
        </w:rPr>
        <w:t xml:space="preserve">الأسود:</w:t>
      </w:r>
      <w:r>
        <w:rPr>
          <w:rFonts w:ascii="Calibri" w:hAnsi="Calibri" w:cs="Arial"/>
          <w:rtl/>
          <w:sz w:val="24"/>
          <w:szCs w:val="24"/>
        </w:rPr>
        <w:t xml:space="preserve"> النفايات العامة غير القابلة لإعادة التدوير (بقايا طعام المقصف وكناسة الأرضيات).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الممارسة اليومية</w:t>
      </w:r>
    </w:p>
    <w:p>
      <w:pPr>
        <w:pStyle w:val="ListeParagraf"/>
        <w:bidi/>
        <w:spacing w:after="80"/>
        <w:ind w:left="0" w:right="709"/>
        <w:jc w:val="both"/>
      </w:pPr>
      <w:r>
        <w:rPr>
          <w:rFonts w:ascii="Calibri" w:hAnsi="Calibri" w:cs="Arial"/>
          <w:rtl/>
          <w:sz w:val="24"/>
          <w:szCs w:val="24"/>
        </w:rPr>
        <w:t xml:space="preserve">2.1. ضع النفايات في الحاوية الصحيحة فور توليدها في مكانها؛ ولا تترك النفايات على الأرض أو على الآلات.</w:t>
      </w:r>
    </w:p>
    <w:p>
      <w:pPr>
        <w:pStyle w:val="ListeParagraf"/>
        <w:bidi/>
        <w:spacing w:after="80"/>
        <w:ind w:left="0" w:right="709"/>
        <w:jc w:val="both"/>
      </w:pPr>
      <w:r>
        <w:rPr>
          <w:rFonts w:ascii="Calibri" w:hAnsi="Calibri" w:cs="Arial"/>
          <w:rtl/>
          <w:sz w:val="24"/>
          <w:szCs w:val="24"/>
        </w:rPr>
        <w:t xml:space="preserve">2.2. حافظ على قصاصات القماش نظيفة وجافة؛ واجمع الوبر بشكل منفصل وفقًا لإجراء إدارة الوبر.</w:t>
      </w:r>
    </w:p>
    <w:p>
      <w:pPr>
        <w:pStyle w:val="ListeParagraf"/>
        <w:bidi/>
        <w:spacing w:after="80"/>
        <w:ind w:left="0" w:right="709"/>
        <w:jc w:val="both"/>
      </w:pPr>
      <w:r>
        <w:rPr>
          <w:rFonts w:ascii="Calibri" w:hAnsi="Calibri" w:cs="Arial"/>
          <w:rtl/>
          <w:sz w:val="24"/>
          <w:szCs w:val="24"/>
        </w:rPr>
        <w:t xml:space="preserve">2.3. تُفرغ عبوات الكيماويات الفارغة تمامًا وتُغلق وتُرسل إلى منطقة النفايات الخطرة؛ ولا يُعاد استخدامها أبدًا للماء أو الطعام.</w:t>
      </w:r>
    </w:p>
    <w:p>
      <w:pPr>
        <w:pStyle w:val="ListeParagraf"/>
        <w:bidi/>
        <w:spacing w:after="80"/>
        <w:ind w:left="0" w:right="709"/>
        <w:jc w:val="both"/>
      </w:pPr>
      <w:r>
        <w:rPr>
          <w:rFonts w:ascii="Calibri" w:hAnsi="Calibri" w:cs="Arial"/>
          <w:rtl/>
          <w:sz w:val="24"/>
          <w:szCs w:val="24"/>
        </w:rPr>
        <w:t xml:space="preserve">2.4. عندما تمتلئ الحاوية بنسبة ثلاثة أرباع، أبلغ عمال جمع النفايات.</w:t>
      </w:r>
    </w:p>
    <w:p>
      <w:pPr>
        <w:pStyle w:val="ListeParagraf"/>
        <w:bidi/>
        <w:spacing w:after="80"/>
        <w:ind w:left="0" w:right="709"/>
        <w:jc w:val="both"/>
      </w:pPr>
      <w:r>
        <w:rPr>
          <w:rFonts w:ascii="Calibri" w:hAnsi="Calibri" w:cs="Arial"/>
          <w:rtl/>
          <w:sz w:val="24"/>
          <w:szCs w:val="24"/>
        </w:rPr>
        <w:t xml:space="preserve">2.5. يزن عمال جمع النفايات كل نوع من النفايات ويسجلونه في نموذج سجل النفايات قبل وضعه في منطقة النفايات المركزية.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المحظورات</w:t>
      </w:r>
    </w:p>
    <w:p>
      <w:pPr>
        <w:pStyle w:val="ListeParagraf"/>
        <w:numPr>
          <w:ilvl w:val="0"/>
          <w:numId w:val="1"/>
        </w:numPr>
        <w:bidi/>
        <w:spacing w:after="60"/>
        <w:jc w:val="both"/>
      </w:pPr>
      <w:r>
        <w:rPr>
          <w:rFonts w:ascii="Calibri" w:hAnsi="Calibri" w:cs="Arial"/>
          <w:rtl/>
          <w:sz w:val="24"/>
          <w:szCs w:val="24"/>
        </w:rPr>
        <w:t xml:space="preserve">لا تخلط النفايات الخطرة مع النفايات الأخرى.</w:t>
      </w:r>
    </w:p>
    <w:p>
      <w:pPr>
        <w:pStyle w:val="ListeParagraf"/>
        <w:numPr>
          <w:ilvl w:val="0"/>
          <w:numId w:val="1"/>
        </w:numPr>
        <w:bidi/>
        <w:spacing w:after="60"/>
        <w:jc w:val="both"/>
      </w:pPr>
      <w:r>
        <w:rPr>
          <w:rFonts w:ascii="Calibri" w:hAnsi="Calibri" w:cs="Arial"/>
          <w:rtl/>
          <w:sz w:val="24"/>
          <w:szCs w:val="24"/>
        </w:rPr>
        <w:t xml:space="preserve">لا تسكب الكيماويات أو الزيوت أو محاليل الصباغة في المصارف أو الأحواض أو المراحيض.</w:t>
      </w:r>
    </w:p>
    <w:p>
      <w:pPr>
        <w:pStyle w:val="ListeParagraf"/>
        <w:numPr>
          <w:ilvl w:val="0"/>
          <w:numId w:val="1"/>
        </w:numPr>
        <w:bidi/>
        <w:spacing w:after="60"/>
        <w:jc w:val="both"/>
      </w:pPr>
      <w:r>
        <w:rPr>
          <w:rFonts w:ascii="Calibri" w:hAnsi="Calibri" w:cs="Arial"/>
          <w:rtl/>
          <w:sz w:val="24"/>
          <w:szCs w:val="24"/>
        </w:rPr>
        <w:t xml:space="preserve">لا تحرق أي نفايات في الموقع.</w:t>
      </w:r>
    </w:p>
    <w:p>
      <w:pPr>
        <w:pStyle w:val="ListeParagraf"/>
        <w:numPr>
          <w:ilvl w:val="0"/>
          <w:numId w:val="1"/>
        </w:numPr>
        <w:bidi/>
        <w:spacing w:after="60"/>
        <w:jc w:val="both"/>
      </w:pPr>
      <w:r>
        <w:rPr>
          <w:rFonts w:ascii="Calibri" w:hAnsi="Calibri" w:cs="Arial"/>
          <w:rtl/>
          <w:sz w:val="24"/>
          <w:szCs w:val="24"/>
        </w:rPr>
        <w:t xml:space="preserve">لا تُخرج النفايات من الموقع دون مستند نقل نفايات معتمد من مسؤول البيئة.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w:t>
      </w:r>
    </w:p>
    <w:p>
      <w:pPr>
        <w:pStyle w:val="ListeParagraf"/>
        <w:bidi/>
        <w:spacing w:after="80"/>
        <w:ind w:left="0" w:right="709"/>
        <w:jc w:val="both"/>
      </w:pPr>
      <w:r>
        <w:rPr>
          <w:rFonts w:ascii="Calibri" w:hAnsi="Calibri" w:cs="Arial"/>
          <w:rtl/>
          <w:sz w:val="24"/>
          <w:szCs w:val="24"/>
        </w:rPr>
        <w:t xml:space="preserve">4.1. إذا وُجدت نفايات خطرة في حاوية خاطئة، فلا تفرزها بيدك؛ أبلغ المشرف الذي يرتب نقلها بأمان باستخدام قفازات مناسبة.</w:t>
      </w:r>
    </w:p>
    <w:p>
      <w:pPr>
        <w:pStyle w:val="ListeParagraf"/>
        <w:bidi/>
        <w:spacing w:after="80"/>
        <w:ind w:left="0" w:right="709"/>
        <w:jc w:val="both"/>
      </w:pPr>
      <w:r>
        <w:rPr>
          <w:rFonts w:ascii="Calibri" w:hAnsi="Calibri" w:cs="Arial"/>
          <w:rtl/>
          <w:sz w:val="24"/>
          <w:szCs w:val="24"/>
        </w:rPr>
        <w:t xml:space="preserve">4.2. يُنظف أي انسكاب يحدث أثناء التعامل مع النفايات باستخدام عدة الانسكاب وفقًا للتعليمات EMS.KM.TL.20.03.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إجراء إدارة النفايات وإجراء إدارة الوبر</w:t>
      </w:r>
    </w:p>
    <w:p>
      <w:pPr>
        <w:pStyle w:val="ListeParagraf"/>
        <w:numPr>
          <w:ilvl w:val="0"/>
          <w:numId w:val="1"/>
        </w:numPr>
        <w:bidi/>
        <w:spacing w:after="60"/>
        <w:jc w:val="both"/>
      </w:pPr>
      <w:r>
        <w:rPr>
          <w:rFonts w:ascii="Calibri" w:hAnsi="Calibri" w:cs="Arial"/>
          <w:rtl/>
          <w:sz w:val="24"/>
          <w:szCs w:val="24"/>
        </w:rPr>
        <w:t xml:space="preserve">نموذج سجل النفايات ومستندات نقل النفايات</w:t>
      </w:r>
    </w:p>
    <w:p>
      <w:pPr>
        <w:pStyle w:val="ListeParagraf"/>
        <w:numPr>
          <w:ilvl w:val="0"/>
          <w:numId w:val="1"/>
        </w:numPr>
        <w:bidi/>
        <w:spacing w:after="60"/>
        <w:jc w:val="both"/>
      </w:pPr>
      <w:r>
        <w:rPr>
          <w:rFonts w:ascii="Calibri" w:hAnsi="Calibri" w:cs="Arial"/>
          <w:rtl/>
          <w:sz w:val="24"/>
          <w:szCs w:val="24"/>
        </w:rPr>
        <w:t xml:space="preserve">EMS.ÇV.TL.19.02. تعليمات منطقة التخزين المؤقت للنفايات الخطرة</w:t>
      </w:r>
    </w:p>
    <w:p>
      <w:pPr>
        <w:pStyle w:val="ListeParagraf"/>
        <w:numPr>
          <w:ilvl w:val="0"/>
          <w:numId w:val="1"/>
        </w:numPr>
        <w:bidi/>
        <w:spacing w:after="60"/>
        <w:jc w:val="both"/>
      </w:pPr>
      <w:r>
        <w:rPr>
          <w:rFonts w:ascii="Calibri" w:hAnsi="Calibri" w:cs="Arial"/>
          <w:rtl/>
          <w:sz w:val="24"/>
          <w:szCs w:val="24"/>
        </w:rPr>
        <w:t xml:space="preserve">EMS.KM.TL.20.03. تعليمات استخدام عدة الانسكاب الكيميائي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يتحقق مسؤول البيئة من فصل النفايات شهريًا، ويرفع تقريرًا بنسبة إعادة التدوير (%) وكمية النفايات الخطرة لكل كيلوغرام من الإنتاج. وتُراجع هذه التعليمات سنويًا أو عند تغير أنواع النفايات.</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WASTE SEGREGATION INSTRUCTION</w:t>
          </w:r>
        </w:p>
        <w:p>
          <w:pPr>
            <w:pStyle w:val="GvdeMetni2"/>
            <w:bidi/>
            <w:spacing w:line="276" w:lineRule="auto"/>
            <w:jc w:val="center"/>
          </w:pPr>
          <w:r>
            <w:rPr>
              <w:rFonts w:asciiTheme="minorHAnsi" w:hAnsiTheme="minorHAnsi" w:cs="Arial"/>
              <w:b/>
              <w:bCs/>
              <w:color w:val="000000" w:themeColor="text1"/>
              <w:sz w:val="22"/>
              <w:szCs w:val="22"/>
              <w:rtl/>
            </w:rPr>
            <w:t>تعليمات فصل النفايات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EMS.ÇV.TL.19.01.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EMS.ÇV.TL.19.01. WASTE SEGREGATION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