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how samples are taken from the effluent treatment plant (ETP) of Eroglu Knitting (EMS) and how the daily in-house analyses are carried out and recorded, so that the plant can be controlled correctly and any risk of exceeding the discharge limits of applicable Egyptian legislation and the ZDHC Wastewater Guidelines is detected early.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ETP laboratory analyst and the ETP operators on all shifts, and covers sampling points at the equalisation tank, the biological (aeration) tank, the clarifier outlet and the final discharge point.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ETP Supervisor:</w:t>
      </w:r>
      <w:r>
        <w:rPr>
          <w:rFonts w:ascii="Calibri" w:hAnsi="Calibri" w:cs="Arial"/>
          <w:sz w:val="24"/>
          <w:szCs w:val="24"/>
        </w:rPr>
        <w:t xml:space="preserve"> Approves the sampling plan, reviews the daily results and decides on process adjustments.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ETP Analyst / Operator:</w:t>
      </w:r>
      <w:r>
        <w:rPr>
          <w:rFonts w:ascii="Calibri" w:hAnsi="Calibri" w:cs="Arial"/>
          <w:sz w:val="24"/>
          <w:szCs w:val="24"/>
        </w:rPr>
        <w:t xml:space="preserve"> Takes the samples, carries out the analyses, records the results and reports out-of-limit values at once.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Manager:</w:t>
      </w:r>
      <w:r>
        <w:rPr>
          <w:rFonts w:ascii="Calibri" w:hAnsi="Calibri" w:cs="Arial"/>
          <w:sz w:val="24"/>
          <w:szCs w:val="24"/>
        </w:rPr>
        <w:t xml:space="preserve"> Compares the daily results with external laboratory reports and legal and ZDHC limits, and reports trends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 Maintenance:</w:t>
      </w:r>
      <w:r>
        <w:rPr>
          <w:rFonts w:ascii="Calibri" w:hAnsi="Calibri" w:cs="Arial"/>
          <w:sz w:val="24"/>
          <w:szCs w:val="24"/>
        </w:rPr>
        <w:t xml:space="preserve"> Ensures that analysis instruments are calibrated and maintained.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COD:</w:t>
      </w:r>
      <w:r>
        <w:rPr>
          <w:rFonts w:ascii="Calibri" w:hAnsi="Calibri" w:cs="Arial"/>
          <w:sz w:val="24"/>
          <w:szCs w:val="24"/>
        </w:rPr>
        <w:t xml:space="preserve"> Chemical oxygen demand; indicates the organic load in the water.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SV30:</w:t>
      </w:r>
      <w:r>
        <w:rPr>
          <w:rFonts w:ascii="Calibri" w:hAnsi="Calibri" w:cs="Arial"/>
          <w:sz w:val="24"/>
          <w:szCs w:val="24"/>
        </w:rPr>
        <w:t xml:space="preserve"> The volume of sludge settled in a 1-litre cylinder after 30 minutes; used to control the biological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Composite Sample:</w:t>
      </w:r>
      <w:r>
        <w:rPr>
          <w:rFonts w:ascii="Calibri" w:hAnsi="Calibri" w:cs="Arial"/>
          <w:sz w:val="24"/>
          <w:szCs w:val="24"/>
        </w:rPr>
        <w:t xml:space="preserve"> A sample made by mixing equal portions taken at regular intervals over a shift or day.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Wear a lab coat, nitrile gloves and safety glasses; wash hands after sampling and analysis.</w:t>
      </w:r>
    </w:p>
    <w:p>
      <w:pPr>
        <w:pStyle w:val="ListeParagraf"/>
        <w:spacing w:after="80"/>
        <w:ind w:left="709" w:right="0"/>
        <w:jc w:val="both"/>
      </w:pPr>
      <w:r>
        <w:rPr>
          <w:rFonts w:ascii="Calibri" w:hAnsi="Calibri" w:cs="Arial"/>
          <w:sz w:val="24"/>
          <w:szCs w:val="24"/>
        </w:rPr>
        <w:t xml:space="preserve">1.2. Check that the pH meter, DO meter and thermometer have been calibrated or checked with buffer and standard solutions on the same day, and that reagents are within their expiry date.</w:t>
      </w:r>
    </w:p>
    <w:p>
      <w:pPr>
        <w:pStyle w:val="ListeParagraf"/>
        <w:spacing w:after="80"/>
        <w:ind w:left="709" w:right="0"/>
        <w:jc w:val="both"/>
      </w:pPr>
      <w:r>
        <w:rPr>
          <w:rFonts w:ascii="Calibri" w:hAnsi="Calibri" w:cs="Arial"/>
          <w:sz w:val="24"/>
          <w:szCs w:val="24"/>
        </w:rPr>
        <w:t xml:space="preserve">1.3. Use clean, labelled sample bottles showing sampling point, date, time and name.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SAMPLING</w:t>
      </w:r>
    </w:p>
    <w:p>
      <w:pPr>
        <w:pStyle w:val="ListeParagraf"/>
        <w:spacing w:after="80"/>
        <w:ind w:left="709" w:right="0"/>
        <w:jc w:val="both"/>
      </w:pPr>
      <w:r>
        <w:rPr>
          <w:rFonts w:ascii="Calibri" w:hAnsi="Calibri" w:cs="Arial"/>
          <w:sz w:val="24"/>
          <w:szCs w:val="24"/>
        </w:rPr>
        <w:t xml:space="preserve">2.1. Take samples from the fixed sampling points in the sampling plan; let the water run or mix the tank before sampling and do not take samples from the surface scum or dead corners.</w:t>
      </w:r>
    </w:p>
    <w:p>
      <w:pPr>
        <w:pStyle w:val="ListeParagraf"/>
        <w:spacing w:after="80"/>
        <w:ind w:left="709" w:right="0"/>
        <w:jc w:val="both"/>
      </w:pPr>
      <w:r>
        <w:rPr>
          <w:rFonts w:ascii="Calibri" w:hAnsi="Calibri" w:cs="Arial"/>
          <w:sz w:val="24"/>
          <w:szCs w:val="24"/>
        </w:rPr>
        <w:t xml:space="preserve">2.2. Take a composite sample from the final discharge point over the shift as defined in the sampling plan, and spot samples from the other points.</w:t>
      </w:r>
    </w:p>
    <w:p>
      <w:pPr>
        <w:pStyle w:val="ListeParagraf"/>
        <w:spacing w:after="80"/>
        <w:ind w:left="709" w:right="0"/>
        <w:jc w:val="both"/>
      </w:pPr>
      <w:r>
        <w:rPr>
          <w:rFonts w:ascii="Calibri" w:hAnsi="Calibri" w:cs="Arial"/>
          <w:sz w:val="24"/>
          <w:szCs w:val="24"/>
        </w:rPr>
        <w:t xml:space="preserve">2.3. Analyse samples within the holding time; if analysis is delayed, keep the samples in the sample refrigerator.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DAILY ANALYSES</w:t>
      </w:r>
    </w:p>
    <w:p>
      <w:pPr>
        <w:pStyle w:val="ListeParagraf"/>
        <w:spacing w:after="80"/>
        <w:ind w:left="709" w:right="0"/>
        <w:jc w:val="both"/>
      </w:pPr>
      <w:r>
        <w:rPr>
          <w:rFonts w:ascii="Calibri" w:hAnsi="Calibri" w:cs="Arial"/>
          <w:sz w:val="24"/>
          <w:szCs w:val="24"/>
        </w:rPr>
        <w:t xml:space="preserve">3.1. Carry out the following analyses at the frequency defined in the sampling plan:</w:t>
      </w:r>
    </w:p>
    <w:p>
      <w:pPr>
        <w:pStyle w:val="ListeParagraf"/>
        <w:numPr>
          <w:ilvl w:val="0"/>
          <w:numId w:val="1"/>
        </w:numPr>
        <w:spacing w:after="60"/>
        <w:jc w:val="both"/>
      </w:pPr>
      <w:r>
        <w:rPr>
          <w:rFonts w:ascii="Calibri" w:hAnsi="Calibri" w:cs="Arial"/>
          <w:sz w:val="24"/>
          <w:szCs w:val="24"/>
        </w:rPr>
        <w:t xml:space="preserve">pH and temperature: every shift at the equalisation tank and final discharge,</w:t>
      </w:r>
    </w:p>
    <w:p>
      <w:pPr>
        <w:pStyle w:val="ListeParagraf"/>
        <w:numPr>
          <w:ilvl w:val="0"/>
          <w:numId w:val="1"/>
        </w:numPr>
        <w:spacing w:after="60"/>
        <w:jc w:val="both"/>
      </w:pPr>
      <w:r>
        <w:rPr>
          <w:rFonts w:ascii="Calibri" w:hAnsi="Calibri" w:cs="Arial"/>
          <w:sz w:val="24"/>
          <w:szCs w:val="24"/>
        </w:rPr>
        <w:t xml:space="preserve">Dissolved oxygen (DO): every shift in the aeration tank,</w:t>
      </w:r>
    </w:p>
    <w:p>
      <w:pPr>
        <w:pStyle w:val="ListeParagraf"/>
        <w:numPr>
          <w:ilvl w:val="0"/>
          <w:numId w:val="1"/>
        </w:numPr>
        <w:spacing w:after="60"/>
        <w:jc w:val="both"/>
      </w:pPr>
      <w:r>
        <w:rPr>
          <w:rFonts w:ascii="Calibri" w:hAnsi="Calibri" w:cs="Arial"/>
          <w:sz w:val="24"/>
          <w:szCs w:val="24"/>
        </w:rPr>
        <w:t xml:space="preserve">SV30 sludge settling test: once a day in the aeration tank,</w:t>
      </w:r>
    </w:p>
    <w:p>
      <w:pPr>
        <w:pStyle w:val="ListeParagraf"/>
        <w:numPr>
          <w:ilvl w:val="0"/>
          <w:numId w:val="1"/>
        </w:numPr>
        <w:spacing w:after="60"/>
        <w:jc w:val="both"/>
      </w:pPr>
      <w:r>
        <w:rPr>
          <w:rFonts w:ascii="Calibri" w:hAnsi="Calibri" w:cs="Arial"/>
          <w:sz w:val="24"/>
          <w:szCs w:val="24"/>
        </w:rPr>
        <w:t xml:space="preserve">COD, total suspended solids (TSS) and colour: once a day at the inlet and final discharge.</w:t>
      </w:r>
    </w:p>
    <w:p>
      <w:pPr>
        <w:pStyle w:val="ListeParagraf"/>
        <w:spacing w:after="80"/>
        <w:ind w:left="709" w:right="0"/>
        <w:jc w:val="both"/>
      </w:pPr>
      <w:r>
        <w:rPr>
          <w:rFonts w:ascii="Calibri" w:hAnsi="Calibri" w:cs="Arial"/>
          <w:sz w:val="24"/>
          <w:szCs w:val="24"/>
        </w:rPr>
        <w:t xml:space="preserve">3.2. Follow the test method and the instrument manual exactly, and run a blank or a standard sample with each COD batch.</w:t>
      </w:r>
    </w:p>
    <w:p>
      <w:pPr>
        <w:pStyle w:val="ListeParagraf"/>
        <w:spacing w:after="80"/>
        <w:ind w:left="709" w:right="0"/>
        <w:jc w:val="both"/>
      </w:pPr>
      <w:r>
        <w:rPr>
          <w:rFonts w:ascii="Calibri" w:hAnsi="Calibri" w:cs="Arial"/>
          <w:sz w:val="24"/>
          <w:szCs w:val="24"/>
        </w:rPr>
        <w:t xml:space="preserve">3.3. Record all results on the daily ETP analysis form or in the ETP data system immediately, with the time and analyst name.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w:t>
      </w:r>
    </w:p>
    <w:p>
      <w:pPr>
        <w:pStyle w:val="ListeParagraf"/>
        <w:spacing w:after="80"/>
        <w:ind w:left="709" w:right="0"/>
        <w:jc w:val="both"/>
      </w:pPr>
      <w:r>
        <w:rPr>
          <w:rFonts w:ascii="Calibri" w:hAnsi="Calibri" w:cs="Arial"/>
          <w:sz w:val="24"/>
          <w:szCs w:val="24"/>
        </w:rPr>
        <w:t xml:space="preserve">4.1. If any result at the final discharge is outside the internal alarm limit, re-test immediately and inform the ETP Supervisor.</w:t>
      </w:r>
    </w:p>
    <w:p>
      <w:pPr>
        <w:pStyle w:val="ListeParagraf"/>
        <w:spacing w:after="80"/>
        <w:ind w:left="709" w:right="0"/>
        <w:jc w:val="both"/>
      </w:pPr>
      <w:r>
        <w:rPr>
          <w:rFonts w:ascii="Calibri" w:hAnsi="Calibri" w:cs="Arial"/>
          <w:sz w:val="24"/>
          <w:szCs w:val="24"/>
        </w:rPr>
        <w:t xml:space="preserve">4.2. The ETP Supervisor adjusts the process (pH correction, aeration, chemical dosing, flow) and, if the discharge limit may be exceeded, stops or reduces discharge and informs the Environmental Manager and the Dyehouse Manager.</w:t>
      </w:r>
    </w:p>
    <w:p>
      <w:pPr>
        <w:pStyle w:val="ListeParagraf"/>
        <w:spacing w:after="80"/>
        <w:ind w:left="709" w:right="0"/>
        <w:jc w:val="both"/>
      </w:pPr>
      <w:r>
        <w:rPr>
          <w:rFonts w:ascii="Calibri" w:hAnsi="Calibri" w:cs="Arial"/>
          <w:sz w:val="24"/>
          <w:szCs w:val="24"/>
        </w:rPr>
        <w:t xml:space="preserve">4.3. Record the deviation, the action taken and the re-test result on the ETP deviation log.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EMS.ÇV.PRO.19.02. Wastewater Management and Monitoring Procedure</w:t>
      </w:r>
    </w:p>
    <w:p>
      <w:pPr>
        <w:pStyle w:val="ListeParagraf"/>
        <w:numPr>
          <w:ilvl w:val="0"/>
          <w:numId w:val="1"/>
        </w:numPr>
        <w:spacing w:after="60"/>
        <w:jc w:val="both"/>
      </w:pPr>
      <w:r>
        <w:rPr>
          <w:rFonts w:ascii="Calibri" w:hAnsi="Calibri" w:cs="Arial"/>
          <w:sz w:val="24"/>
          <w:szCs w:val="24"/>
        </w:rPr>
        <w:t xml:space="preserve">EMS.ÇV.TL.19.03. Wastewater Treatment Plant Operation Instruction</w:t>
      </w:r>
    </w:p>
    <w:p>
      <w:pPr>
        <w:pStyle w:val="ListeParagraf"/>
        <w:numPr>
          <w:ilvl w:val="0"/>
          <w:numId w:val="1"/>
        </w:numPr>
        <w:spacing w:after="60"/>
        <w:jc w:val="both"/>
      </w:pPr>
      <w:r>
        <w:rPr>
          <w:rFonts w:ascii="Calibri" w:hAnsi="Calibri" w:cs="Arial"/>
          <w:sz w:val="24"/>
          <w:szCs w:val="24"/>
        </w:rPr>
        <w:t xml:space="preserve">EMS.LB.PRO.09.02. Calibration of Measuring Equipment Procedure</w:t>
      </w:r>
    </w:p>
    <w:p>
      <w:pPr>
        <w:pStyle w:val="ListeParagraf"/>
        <w:numPr>
          <w:ilvl w:val="0"/>
          <w:numId w:val="1"/>
        </w:numPr>
        <w:spacing w:after="60"/>
        <w:jc w:val="both"/>
      </w:pPr>
      <w:r>
        <w:rPr>
          <w:rFonts w:ascii="Calibri" w:hAnsi="Calibri" w:cs="Arial"/>
          <w:sz w:val="24"/>
          <w:szCs w:val="24"/>
        </w:rPr>
        <w:t xml:space="preserve">ETP Sampling Plan, Daily ETP Analysis Forms, Instrument Calibration Records and ETP Deviation Log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ETP Supervisor reviews the daily results every day and the Environmental Manager evaluates the monthly trends of COD, TSS, colour and pH, the number of out-of-limit results and the agreement with external laboratory reports. This instruction is reviewed every year or after any change in the treatment process.</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كيفية أخذ العينات من محطة معالجة مياه الصرف (ETP) في شركة إيروغلو للتريكو (EMS)، وكيفية إجراء التحاليل الداخلية اليومية وتسجيلها، بحيث يمكن التحكم في المحطة بشكل صحيح، واكتشاف أي خطر لتجاوز حدود التصريف الواردة في التشريعات المصرية المعمول بها وإرشادات ZDHC لمياه الصرف في وقت مبكر.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محلل مختبر محطة المعالجة ومشغلي المحطة في جميع الورديات، وتشمل نقاط أخذ العينات في خزان المعادلة والخزان البيولوجي (خزان التهوية) ومخرج المروّق ونقطة التصريف النهائية.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محطة المعالجة:</w:t>
      </w:r>
      <w:r>
        <w:rPr>
          <w:rFonts w:ascii="Calibri" w:hAnsi="Calibri" w:cs="Arial"/>
          <w:rtl/>
          <w:sz w:val="24"/>
          <w:szCs w:val="24"/>
        </w:rPr>
        <w:t xml:space="preserve"> يعتمد خطة أخذ العينات، ويراجع النتائج اليومية، ويقرر تعديلات العملية.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محلل / مشغل محطة المعالجة:</w:t>
      </w:r>
      <w:r>
        <w:rPr>
          <w:rFonts w:ascii="Calibri" w:hAnsi="Calibri" w:cs="Arial"/>
          <w:rtl/>
          <w:sz w:val="24"/>
          <w:szCs w:val="24"/>
        </w:rPr>
        <w:t xml:space="preserve"> يأخذ العينات، ويجري التحاليل، ويسجل النتائج، ويبلغ فورًا عن القيم الخارجة عن الحدود.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البيئة:</w:t>
      </w:r>
      <w:r>
        <w:rPr>
          <w:rFonts w:ascii="Calibri" w:hAnsi="Calibri" w:cs="Arial"/>
          <w:rtl/>
          <w:sz w:val="24"/>
          <w:szCs w:val="24"/>
        </w:rPr>
        <w:t xml:space="preserve"> يقارن النتائج اليومية بتقارير المختبر الخارجي وبالحدود القانونية وحدود ZDHC، ويبلغ الإدارة بالاتجاهات.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المختبر / الصيانة:</w:t>
      </w:r>
      <w:r>
        <w:rPr>
          <w:rFonts w:ascii="Calibri" w:hAnsi="Calibri" w:cs="Arial"/>
          <w:rtl/>
          <w:sz w:val="24"/>
          <w:szCs w:val="24"/>
        </w:rPr>
        <w:t xml:space="preserve"> يضمنان معايرة أجهزة التحليل وصيانتها.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COD:</w:t>
      </w:r>
      <w:r>
        <w:rPr>
          <w:rFonts w:ascii="Calibri" w:hAnsi="Calibri" w:cs="Arial"/>
          <w:rtl/>
          <w:sz w:val="24"/>
          <w:szCs w:val="24"/>
        </w:rPr>
        <w:t xml:space="preserve"> الطلب الكيميائي على الأكسجين؛ ويدل على الحمل العضوي في المياه.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SV30:</w:t>
      </w:r>
      <w:r>
        <w:rPr>
          <w:rFonts w:ascii="Calibri" w:hAnsi="Calibri" w:cs="Arial"/>
          <w:rtl/>
          <w:sz w:val="24"/>
          <w:szCs w:val="24"/>
        </w:rPr>
        <w:t xml:space="preserve"> حجم الحمأة المترسبة في أسطوانة سعة لتر واحد بعد 30 دقيقة؛ ويُستخدم للتحكم في العملية البيولوجية.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العينة المركبة:</w:t>
      </w:r>
      <w:r>
        <w:rPr>
          <w:rFonts w:ascii="Calibri" w:hAnsi="Calibri" w:cs="Arial"/>
          <w:rtl/>
          <w:sz w:val="24"/>
          <w:szCs w:val="24"/>
        </w:rPr>
        <w:t xml:space="preserve"> عينة تُحضّر بخلط أجزاء متساوية تؤخذ على فترات منتظمة خلال وردية أو يوم.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ارتدِ معطف المختبر وقفازات النتريل ونظارات السلامة؛ واغسل يديك بعد أخذ العينات والتحليل.</w:t>
      </w:r>
    </w:p>
    <w:p>
      <w:pPr>
        <w:pStyle w:val="ListeParagraf"/>
        <w:bidi/>
        <w:spacing w:after="80"/>
        <w:ind w:left="0" w:right="709"/>
        <w:jc w:val="both"/>
      </w:pPr>
      <w:r>
        <w:rPr>
          <w:rFonts w:ascii="Calibri" w:hAnsi="Calibri" w:cs="Arial"/>
          <w:rtl/>
          <w:sz w:val="24"/>
          <w:szCs w:val="24"/>
        </w:rPr>
        <w:t xml:space="preserve">1.2. تحقق من أن جهاز قياس pH وجهاز قياس الأكسجين المذاب وميزان الحرارة قد تمت معايرتها أو فحصها بمحاليل منظمة وقياسية في اليوم نفسه، وأن الكواشف ضمن تاريخ صلاحيتها.</w:t>
      </w:r>
    </w:p>
    <w:p>
      <w:pPr>
        <w:pStyle w:val="ListeParagraf"/>
        <w:bidi/>
        <w:spacing w:after="80"/>
        <w:ind w:left="0" w:right="709"/>
        <w:jc w:val="both"/>
      </w:pPr>
      <w:r>
        <w:rPr>
          <w:rFonts w:ascii="Calibri" w:hAnsi="Calibri" w:cs="Arial"/>
          <w:rtl/>
          <w:sz w:val="24"/>
          <w:szCs w:val="24"/>
        </w:rPr>
        <w:t xml:space="preserve">1.3. استخدم زجاجات عينات نظيفة ومُعلَّمة تبين نقطة أخذ العينة والتاريخ والوقت والاسم.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أخذ العينات</w:t>
      </w:r>
    </w:p>
    <w:p>
      <w:pPr>
        <w:pStyle w:val="ListeParagraf"/>
        <w:bidi/>
        <w:spacing w:after="80"/>
        <w:ind w:left="0" w:right="709"/>
        <w:jc w:val="both"/>
      </w:pPr>
      <w:r>
        <w:rPr>
          <w:rFonts w:ascii="Calibri" w:hAnsi="Calibri" w:cs="Arial"/>
          <w:rtl/>
          <w:sz w:val="24"/>
          <w:szCs w:val="24"/>
        </w:rPr>
        <w:t xml:space="preserve">2.1. خذ العينات من نقاط أخذ العينات الثابتة المحددة في الخطة؛ ودع المياه تجري أو اخلط الخزان قبل أخذ العينة، ولا تأخذ عينات من الرغوة السطحية أو الزوايا الراكدة.</w:t>
      </w:r>
    </w:p>
    <w:p>
      <w:pPr>
        <w:pStyle w:val="ListeParagraf"/>
        <w:bidi/>
        <w:spacing w:after="80"/>
        <w:ind w:left="0" w:right="709"/>
        <w:jc w:val="both"/>
      </w:pPr>
      <w:r>
        <w:rPr>
          <w:rFonts w:ascii="Calibri" w:hAnsi="Calibri" w:cs="Arial"/>
          <w:rtl/>
          <w:sz w:val="24"/>
          <w:szCs w:val="24"/>
        </w:rPr>
        <w:t xml:space="preserve">2.2. خذ عينة مركبة من نقطة التصريف النهائية خلال الوردية كما هو محدد في خطة أخذ العينات، وعينات لحظية من النقاط الأخرى.</w:t>
      </w:r>
    </w:p>
    <w:p>
      <w:pPr>
        <w:pStyle w:val="ListeParagraf"/>
        <w:bidi/>
        <w:spacing w:after="80"/>
        <w:ind w:left="0" w:right="709"/>
        <w:jc w:val="both"/>
      </w:pPr>
      <w:r>
        <w:rPr>
          <w:rFonts w:ascii="Calibri" w:hAnsi="Calibri" w:cs="Arial"/>
          <w:rtl/>
          <w:sz w:val="24"/>
          <w:szCs w:val="24"/>
        </w:rPr>
        <w:t xml:space="preserve">2.3. حلّل العينات خلال مدة الحفظ المسموح بها؛ وإذا تأخر التحليل، احفظ العينات في ثلاجة العينات.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التحاليل اليومية</w:t>
      </w:r>
    </w:p>
    <w:p>
      <w:pPr>
        <w:pStyle w:val="ListeParagraf"/>
        <w:bidi/>
        <w:spacing w:after="80"/>
        <w:ind w:left="0" w:right="709"/>
        <w:jc w:val="both"/>
      </w:pPr>
      <w:r>
        <w:rPr>
          <w:rFonts w:ascii="Calibri" w:hAnsi="Calibri" w:cs="Arial"/>
          <w:rtl/>
          <w:sz w:val="24"/>
          <w:szCs w:val="24"/>
        </w:rPr>
        <w:t xml:space="preserve">3.1. نفّذ التحاليل التالية بالتكرار المحدد في خطة أخذ العينات:</w:t>
      </w:r>
    </w:p>
    <w:p>
      <w:pPr>
        <w:pStyle w:val="ListeParagraf"/>
        <w:numPr>
          <w:ilvl w:val="0"/>
          <w:numId w:val="1"/>
        </w:numPr>
        <w:bidi/>
        <w:spacing w:after="60"/>
        <w:jc w:val="both"/>
      </w:pPr>
      <w:r>
        <w:rPr>
          <w:rFonts w:ascii="Calibri" w:hAnsi="Calibri" w:cs="Arial"/>
          <w:rtl/>
          <w:sz w:val="24"/>
          <w:szCs w:val="24"/>
        </w:rPr>
        <w:t xml:space="preserve">الأس الهيدروجيني pH ودرجة الحرارة: في كل وردية عند خزان المعادلة ونقطة التصريف النهائية،</w:t>
      </w:r>
    </w:p>
    <w:p>
      <w:pPr>
        <w:pStyle w:val="ListeParagraf"/>
        <w:numPr>
          <w:ilvl w:val="0"/>
          <w:numId w:val="1"/>
        </w:numPr>
        <w:bidi/>
        <w:spacing w:after="60"/>
        <w:jc w:val="both"/>
      </w:pPr>
      <w:r>
        <w:rPr>
          <w:rFonts w:ascii="Calibri" w:hAnsi="Calibri" w:cs="Arial"/>
          <w:rtl/>
          <w:sz w:val="24"/>
          <w:szCs w:val="24"/>
        </w:rPr>
        <w:t xml:space="preserve">الأكسجين المذاب (DO): في كل وردية في خزان التهوية،</w:t>
      </w:r>
    </w:p>
    <w:p>
      <w:pPr>
        <w:pStyle w:val="ListeParagraf"/>
        <w:numPr>
          <w:ilvl w:val="0"/>
          <w:numId w:val="1"/>
        </w:numPr>
        <w:bidi/>
        <w:spacing w:after="60"/>
        <w:jc w:val="both"/>
      </w:pPr>
      <w:r>
        <w:rPr>
          <w:rFonts w:ascii="Calibri" w:hAnsi="Calibri" w:cs="Arial"/>
          <w:rtl/>
          <w:sz w:val="24"/>
          <w:szCs w:val="24"/>
        </w:rPr>
        <w:t xml:space="preserve">اختبار ترسيب الحمأة SV30: مرة واحدة يوميًا في خزان التهوية،</w:t>
      </w:r>
    </w:p>
    <w:p>
      <w:pPr>
        <w:pStyle w:val="ListeParagraf"/>
        <w:numPr>
          <w:ilvl w:val="0"/>
          <w:numId w:val="1"/>
        </w:numPr>
        <w:bidi/>
        <w:spacing w:after="60"/>
        <w:jc w:val="both"/>
      </w:pPr>
      <w:r>
        <w:rPr>
          <w:rFonts w:ascii="Calibri" w:hAnsi="Calibri" w:cs="Arial"/>
          <w:rtl/>
          <w:sz w:val="24"/>
          <w:szCs w:val="24"/>
        </w:rPr>
        <w:t xml:space="preserve">COD والمواد الصلبة العالقة الكلية (TSS) واللون: مرة واحدة يوميًا عند المدخل ونقطة التصريف النهائية.</w:t>
      </w:r>
    </w:p>
    <w:p>
      <w:pPr>
        <w:pStyle w:val="ListeParagraf"/>
        <w:bidi/>
        <w:spacing w:after="80"/>
        <w:ind w:left="0" w:right="709"/>
        <w:jc w:val="both"/>
      </w:pPr>
      <w:r>
        <w:rPr>
          <w:rFonts w:ascii="Calibri" w:hAnsi="Calibri" w:cs="Arial"/>
          <w:rtl/>
          <w:sz w:val="24"/>
          <w:szCs w:val="24"/>
        </w:rPr>
        <w:t xml:space="preserve">3.2. اتبع طريقة الاختبار ودليل الجهاز بدقة، وشغّل عينة فارغة أو عينة قياسية مع كل دفعة من تحاليل COD.</w:t>
      </w:r>
    </w:p>
    <w:p>
      <w:pPr>
        <w:pStyle w:val="ListeParagraf"/>
        <w:bidi/>
        <w:spacing w:after="80"/>
        <w:ind w:left="0" w:right="709"/>
        <w:jc w:val="both"/>
      </w:pPr>
      <w:r>
        <w:rPr>
          <w:rFonts w:ascii="Calibri" w:hAnsi="Calibri" w:cs="Arial"/>
          <w:rtl/>
          <w:sz w:val="24"/>
          <w:szCs w:val="24"/>
        </w:rPr>
        <w:t xml:space="preserve">3.3. سجّل جميع النتائج فورًا في نموذج التحاليل اليومية لمحطة المعالجة أو في نظام بيانات المحطة، مع الوقت واسم المحلل.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w:t>
      </w:r>
    </w:p>
    <w:p>
      <w:pPr>
        <w:pStyle w:val="ListeParagraf"/>
        <w:bidi/>
        <w:spacing w:after="80"/>
        <w:ind w:left="0" w:right="709"/>
        <w:jc w:val="both"/>
      </w:pPr>
      <w:r>
        <w:rPr>
          <w:rFonts w:ascii="Calibri" w:hAnsi="Calibri" w:cs="Arial"/>
          <w:rtl/>
          <w:sz w:val="24"/>
          <w:szCs w:val="24"/>
        </w:rPr>
        <w:t xml:space="preserve">4.1. إذا كانت أي نتيجة عند نقطة التصريف النهائية خارج حد الإنذار الداخلي، أعد الاختبار فورًا وأبلغ مشرف محطة المعالجة.</w:t>
      </w:r>
    </w:p>
    <w:p>
      <w:pPr>
        <w:pStyle w:val="ListeParagraf"/>
        <w:bidi/>
        <w:spacing w:after="80"/>
        <w:ind w:left="0" w:right="709"/>
        <w:jc w:val="both"/>
      </w:pPr>
      <w:r>
        <w:rPr>
          <w:rFonts w:ascii="Calibri" w:hAnsi="Calibri" w:cs="Arial"/>
          <w:rtl/>
          <w:sz w:val="24"/>
          <w:szCs w:val="24"/>
        </w:rPr>
        <w:t xml:space="preserve">4.2. يعدّل مشرف محطة المعالجة العملية (تصحيح pH، التهوية، جرعات الكيماويات، التدفق)، وإذا كان من المحتمل تجاوز حد التصريف، يوقف التصريف أو يخفضه ويبلغ مدير البيئة ومدير المصبغة.</w:t>
      </w:r>
    </w:p>
    <w:p>
      <w:pPr>
        <w:pStyle w:val="ListeParagraf"/>
        <w:bidi/>
        <w:spacing w:after="80"/>
        <w:ind w:left="0" w:right="709"/>
        <w:jc w:val="both"/>
      </w:pPr>
      <w:r>
        <w:rPr>
          <w:rFonts w:ascii="Calibri" w:hAnsi="Calibri" w:cs="Arial"/>
          <w:rtl/>
          <w:sz w:val="24"/>
          <w:szCs w:val="24"/>
        </w:rPr>
        <w:t xml:space="preserve">4.3. سجّل الانحراف والإجراء المتخذ ونتيجة إعادة الاختبار في سجل انحرافات محطة المعالجة.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EMS.ÇV.PRO.19.02. إجراء إدارة مياه الصرف ورصدها</w:t>
      </w:r>
    </w:p>
    <w:p>
      <w:pPr>
        <w:pStyle w:val="ListeParagraf"/>
        <w:numPr>
          <w:ilvl w:val="0"/>
          <w:numId w:val="1"/>
        </w:numPr>
        <w:bidi/>
        <w:spacing w:after="60"/>
        <w:jc w:val="both"/>
      </w:pPr>
      <w:r>
        <w:rPr>
          <w:rFonts w:ascii="Calibri" w:hAnsi="Calibri" w:cs="Arial"/>
          <w:rtl/>
          <w:sz w:val="24"/>
          <w:szCs w:val="24"/>
        </w:rPr>
        <w:t xml:space="preserve">EMS.ÇV.TL.19.03. تعليمات تشغيل محطة معالجة مياه الصرف</w:t>
      </w:r>
    </w:p>
    <w:p>
      <w:pPr>
        <w:pStyle w:val="ListeParagraf"/>
        <w:numPr>
          <w:ilvl w:val="0"/>
          <w:numId w:val="1"/>
        </w:numPr>
        <w:bidi/>
        <w:spacing w:after="60"/>
        <w:jc w:val="both"/>
      </w:pPr>
      <w:r>
        <w:rPr>
          <w:rFonts w:ascii="Calibri" w:hAnsi="Calibri" w:cs="Arial"/>
          <w:rtl/>
          <w:sz w:val="24"/>
          <w:szCs w:val="24"/>
        </w:rPr>
        <w:t xml:space="preserve">EMS.LB.PRO.09.02. إجراء معايرة أجهزة القياس</w:t>
      </w:r>
    </w:p>
    <w:p>
      <w:pPr>
        <w:pStyle w:val="ListeParagraf"/>
        <w:numPr>
          <w:ilvl w:val="0"/>
          <w:numId w:val="1"/>
        </w:numPr>
        <w:bidi/>
        <w:spacing w:after="60"/>
        <w:jc w:val="both"/>
      </w:pPr>
      <w:r>
        <w:rPr>
          <w:rFonts w:ascii="Calibri" w:hAnsi="Calibri" w:cs="Arial"/>
          <w:rtl/>
          <w:sz w:val="24"/>
          <w:szCs w:val="24"/>
        </w:rPr>
        <w:t xml:space="preserve">خطة أخذ العينات لمحطة المعالجة، ونماذج التحاليل اليومية، وسجلات معايرة الأجهزة، وسجل انحرافات محطة المعالجة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يراجع مشرف محطة المعالجة النتائج اليومية كل يوم، ويقيّم مدير البيئة الاتجاهات الشهرية لقيم COD وTSS واللون وpH، وعدد النتائج الخارجة عن الحدود، ومدى التوافق مع تقارير المختبر الخارجي. وتُراجع هذه التعليمات سنويًا أو بعد أي تغيير في عملية المعالجة.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WASTEWATER TREATMENT PLANT DAILY ANALYSIS INSTRUCTION</w:t>
          </w:r>
        </w:p>
        <w:p>
          <w:pPr>
            <w:pStyle w:val="GvdeMetni2"/>
            <w:bidi/>
            <w:spacing w:line="276" w:lineRule="auto"/>
            <w:jc w:val="center"/>
          </w:pPr>
          <w:r>
            <w:rPr>
              <w:rFonts w:asciiTheme="minorHAnsi" w:hAnsiTheme="minorHAnsi" w:cs="Arial"/>
              <w:b/>
              <w:bCs/>
              <w:color w:val="000000" w:themeColor="text1"/>
              <w:sz w:val="22"/>
              <w:szCs w:val="22"/>
              <w:rtl/>
            </w:rPr>
            <w:t>تعليمات التحاليل اليومية لمحطة معالجة مياه الصرف</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EMS.ÇV.TL.19.04.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EMS.ÇV.TL.19.04. WASTEWATER TREATMENT PLANT DAILY ANALYSIS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