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PURPOSE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describes how embroidery is carried out on multi-head embroidery machines at EMS, so that embroidery matches the approved sample in design, colour and position, and the work is done safely.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SCOPE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It applies to all multi-head embroidery machines, the punching (design) computer, hooping stations and to all embroidery operators and supervisors.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RESPONSIBILITIES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Embroidery Supervisor:</w:t>
      </w:r>
      <w:r>
        <w:rPr>
          <w:rFonts w:ascii="Calibri" w:hAnsi="Calibri" w:cs="Arial"/>
          <w:sz w:val="24"/>
          <w:szCs w:val="24"/>
        </w:rPr>
        <w:t xml:space="preserve"> Checks the design file, thread colours and position against the approved sample and approves the first piece.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Embroidery Operators:</w:t>
      </w:r>
      <w:r>
        <w:rPr>
          <w:rFonts w:ascii="Calibri" w:hAnsi="Calibri" w:cs="Arial"/>
          <w:sz w:val="24"/>
          <w:szCs w:val="24"/>
        </w:rPr>
        <w:t xml:space="preserve"> Hoop, run and unload garments according to this instruction and check every piece.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Mechanic:</w:t>
      </w:r>
      <w:r>
        <w:rPr>
          <w:rFonts w:ascii="Calibri" w:hAnsi="Calibri" w:cs="Arial"/>
          <w:sz w:val="24"/>
          <w:szCs w:val="24"/>
        </w:rPr>
        <w:t xml:space="preserve"> Adjusts tension, needles and hooks and repairs machine faults.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DEFINITIONS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Design File:</w:t>
      </w:r>
      <w:r>
        <w:rPr>
          <w:rFonts w:ascii="Calibri" w:hAnsi="Calibri" w:cs="Arial"/>
          <w:sz w:val="24"/>
          <w:szCs w:val="24"/>
        </w:rPr>
        <w:t xml:space="preserve"> The digitised embroidery program giving stitch count, sequence and colour changes.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Backing:</w:t>
      </w:r>
      <w:r>
        <w:rPr>
          <w:rFonts w:ascii="Calibri" w:hAnsi="Calibri" w:cs="Arial"/>
          <w:sz w:val="24"/>
          <w:szCs w:val="24"/>
        </w:rPr>
        <w:t xml:space="preserve"> The stabiliser material placed under the fabric to prevent puckering during embroidery.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INSTRUCTIONS</w:t>
      </w: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1. BEFORE STARTING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1.1. Check the embroidery order, approved sample, design file version, thread colour codes and backing type.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1.2. Check needles, thread tension, hooks and the needle guard; record the needle count on the needle control form at shift start.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1.3. Load the design, check its size and orientation on screen and set the colour sequence.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2. OPERATION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2.1. Hoop the panel with the right backing, keeping the fabric flat and the marked position centred.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2.2. Run the first piece, compare it with the approved sample and get supervisor approval before bulk production.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2.3. Watch the heads during running; stop the machine for thread breaks, missed stitches or puckering and correct them.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2.4. After embroidery, remove the backing and loose threads carefully, check every piece and keep panels in bundle and size order.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3. SAFETY RULES / PROHIBITIONS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put your hands near the needles or the moving pantograph while the machine is running.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remove the needle guards or work with damaged hoops.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change needles without stopping the machine; follow the needle exchange rule.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leave scissors or tweezers on the machine table; keep them tied at the workstation.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4. IN CASE OF PROBLEM / EMERGENCY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4.1. If a needle breaks, stop the machine, find all pieces and follow the broken needle replacement instruction.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4.2. For repeated thread breaks or machine faults, call the mechanic; do not adjust hooks or timing yourself.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4.3. In case of injury, press the emergency stop, call the first aider and inform the supervisor.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5. RELATED DOCUMENTS AND RECORDS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Embroidery Order, Approved Sample and Design File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Needle Control Form and Embroidery Production Records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EMS.QA.TL.02.02. Broken Needle Replacement Instruction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EMS.QA.PRO.02.07. Needle and Sharp Tools Control Procedure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6. FEEDBACK AND MONITORING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Embroidery defects, machine stoppages and needle breakages are monitored monthly by the Embroidery Supervisor. This instruction is reviewed every year or after a new machine type or customer complaint.</w:t>
      </w:r>
    </w:p>
    <w:p>
      <w:pPr>
        <w:pStyle w:val="ListeParagraf"/>
        <w:pageBreakBefore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الغرض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توضح هذه التعليمات كيفية تنفيذ التطريز على ماكينات التطريز متعددة الرؤوس في شركة إيروغلو للتريكو (EMS)، بحيث يطابق التطريز العينة المعتمدة من حيث التصميم واللون والموضع، ويُنفذ العمل بأمان.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النطاق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تنطبق على جميع ماكينات التطريز متعددة الرؤوس وحاسوب تصميم التطريز ومحطات التطويق، وعلى جميع مشغلي التطريز والمشرفين.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المسؤوليات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مشرف التطريز:</w:t>
      </w:r>
      <w:r>
        <w:rPr>
          <w:rFonts w:ascii="Calibri" w:hAnsi="Calibri" w:cs="Arial"/>
          <w:rtl/>
          <w:sz w:val="24"/>
          <w:szCs w:val="24"/>
        </w:rPr>
        <w:t xml:space="preserve"> يراجع ملف التصميم وألوان الخيوط والموضع مقابل العينة المعتمدة، ويعتمد القطعة الأولى.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مشغلو التطريز:</w:t>
      </w:r>
      <w:r>
        <w:rPr>
          <w:rFonts w:ascii="Calibri" w:hAnsi="Calibri" w:cs="Arial"/>
          <w:rtl/>
          <w:sz w:val="24"/>
          <w:szCs w:val="24"/>
        </w:rPr>
        <w:t xml:space="preserve"> يطوّقون الملابس ويشغلون الماكينة ويفرغونها وفق هذه التعليمات، ويفحصون كل قطعة.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الميكانيكي:</w:t>
      </w:r>
      <w:r>
        <w:rPr>
          <w:rFonts w:ascii="Calibri" w:hAnsi="Calibri" w:cs="Arial"/>
          <w:rtl/>
          <w:sz w:val="24"/>
          <w:szCs w:val="24"/>
        </w:rPr>
        <w:t xml:space="preserve"> يضبط شد الخيط والإبر والخطافات ويصلح أعطال الماكينة.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التعريفات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ملف التصميم:</w:t>
      </w:r>
      <w:r>
        <w:rPr>
          <w:rFonts w:ascii="Calibri" w:hAnsi="Calibri" w:cs="Arial"/>
          <w:rtl/>
          <w:sz w:val="24"/>
          <w:szCs w:val="24"/>
        </w:rPr>
        <w:t xml:space="preserve"> برنامج التطريز الرقمي الذي يحدد عدد الغرز وتسلسلها وتغييرات الألوان.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البطانة (الداعم):</w:t>
      </w:r>
      <w:r>
        <w:rPr>
          <w:rFonts w:ascii="Calibri" w:hAnsi="Calibri" w:cs="Arial"/>
          <w:rtl/>
          <w:sz w:val="24"/>
          <w:szCs w:val="24"/>
        </w:rPr>
        <w:t xml:space="preserve"> مادة التثبيت التي توضع تحت القماش لمنع التجعد أثناء التطريز.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التعليمات</w:t>
      </w: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1. قبل البدء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1.1. راجع أمر التطريز والعينة المعتمدة وإصدار ملف التصميم وأكواد ألوان الخيوط ونوع البطانة.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1.2. افحص الإبر وشد الخيط والخطافات وواقي الإبر، وسجّل عدد الإبر في نموذج التحكم في الإبر عند بداية الوردية.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1.3. حمّل التصميم وتحقق من مقاسه واتجاهه على الشاشة واضبط تسلسل الألوان.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2. التشغيل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2.1. طوّق القطعة مع البطانة الصحيحة مع إبقاء القماش مستويًا والموضع المحدد في المنتصف.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2.2. شغّل القطعة الأولى وقارنها بالعينة المعتمدة، واحصل على اعتماد المشرف قبل الإنتاج الكمي.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2.3. راقب الرؤوس أثناء التشغيل، وأوقف الماكينة عند انقطاع الخيط أو تخطي الغرز أو التجعد وصحّح ذلك.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2.4. بعد التطريز أزل البطانة والخيوط الزائدة بعناية، وافحص كل قطعة، وحافظ على القطع بترتيب الربطة والمقاس.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3. قواعد السلامة / المحظورات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تقرّب يديك من الإبر أو من الإطار المتحرك (البانتوغراف) أثناء تشغيل الماكينة.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تُزِل واقيات الإبر ولا تعمل بأطواق تالفة.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تغيّر الإبر دون إيقاف الماكينة، واتبع قاعدة استبدال الإبر.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تترك المقصات أو الملاقط على طاولة الماكينة؛ واحتفظ بها مربوطة في مكان العمل.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4. في حالة وجود مشكلة / طارئ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4.1. إذا انكسرت إبرة، أوقف الماكينة واعثر على جميع أجزائها واتبع تعليمات استبدال الإبر المكسورة.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4.2. عند تكرار انقطاع الخيط أو أعطال الماكينة، استدعِ الميكانيكي، ولا تضبط الخطافات أو التوقيت بنفسك.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4.3. عند حدوث إصابة، اضغط زر الإيقاف الطارئ واستدعِ المسعف وأبلغ المشرف.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5. الوثائق والسجلات ذات الصلة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أمر التطريز والعينة المعتمدة وملف التصميم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نموذج التحكم في الإبر وسجلات إنتاج التطريز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EMS.QA.TL.02.02. تعليمات استبدال الإبر المكسورة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EMS.QA.PRO.02.07. إجراء التحكم في الإبر والأدوات الحادة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6. التغذية الراجعة والمتابعة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يتابع مشرف التطريز شهريًا عيوب التطريز وتوقفات الماكينات وحالات كسر الإبر. وتُراجع هذه التعليمات سنويًا أو عند إدخال نوع جديد من الماكينات أو بعد شكوى عميل.</w:t>
      </w:r>
    </w:p>
    <w:p/>
    <w:p w14:paraId="09C717F6" w14:textId="77777777" w:rsidR="00492105" w:rsidRDefault="00492105" w:rsidP="00E34A01">
      <w:pPr>
        <w:pStyle w:val="ListeParagraf"/>
        <w:keepNext/>
        <w:ind w:left="709"/>
        <w:rPr>
          <w:rFonts w:ascii="Calibri" w:hAnsi="Calibri" w:cs="Calibri"/>
          <w:sz w:val="24"/>
          <w:szCs w:val="24"/>
        </w:rPr>
      </w:pPr>
    </w:p>
    <w:p w14:paraId="398C0755" w14:textId="3C545F43" w:rsidR="00492105" w:rsidRPr="00492105" w:rsidRDefault="00492105" w:rsidP="00E34A01">
      <w:pPr>
        <w:pStyle w:val="ListeParagraf"/>
        <w:keepNext/>
        <w:ind w:left="709"/>
        <w:rPr>
          <w:rFonts w:ascii="Calibri" w:hAnsi="Calibri" w:cs="Calibri"/>
          <w:b/>
          <w:bCs/>
          <w:sz w:val="24"/>
          <w:szCs w:val="24"/>
        </w:rPr>
      </w:pPr>
      <w:r w:rsidRPr="00492105">
        <w:rPr>
          <w:rFonts w:ascii="Calibri" w:hAnsi="Calibri" w:cs="Calibri"/>
          <w:b/>
          <w:bCs/>
          <w:sz w:val="24"/>
          <w:szCs w:val="24"/>
        </w:rPr>
        <w:t>ONAYLAYANLAR:</w:t>
      </w:r>
    </w:p>
    <w:tbl>
      <w:tblPr>
        <w:tblW w:w="10080" w:type="dxa"/>
        <w:tblInd w:w="629" w:type="dxa"/>
        <w:tblLook w:val="04A0" w:firstRow="1" w:lastRow="0" w:firstColumn="1" w:lastColumn="0" w:noHBand="0" w:noVBand="1"/>
      </w:tblPr>
      <w:tblGrid>
        <w:gridCol w:w="2340"/>
        <w:gridCol w:w="240"/>
        <w:gridCol w:w="2340"/>
        <w:gridCol w:w="240"/>
        <w:gridCol w:w="2340"/>
        <w:gridCol w:w="240"/>
        <w:gridCol w:w="2340"/>
      </w:tblGrid>
      <w:tr w:rsidR="00492105" w:rsidRPr="00892FF4" w14:paraId="54FA6C08" w14:textId="77777777" w:rsidTr="00CC5D8D">
        <w:trPr>
          <w:cantSplit/>
          <w:trHeight w:val="291"/>
        </w:trPr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17A91A" w14:textId="77777777" w:rsidR="00492105" w:rsidRPr="000C2D4C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"/>
                <w:szCs w:val="2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BF122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2843E0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C0BCD2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91892F7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CADCEE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78A7013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</w:tr>
      <w:tr w:rsidR="00492105" w:rsidRPr="00892FF4" w14:paraId="21C65BCE" w14:textId="77777777" w:rsidTr="00CC5D8D">
        <w:trPr>
          <w:cantSplit/>
          <w:trHeight w:val="466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F54A9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 xml:space="preserve">Strateji ve Süreç Geliştirme Müdürü                </w:t>
            </w: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br/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t>BAHAR YILDIRIM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FA47F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C67273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>İnsan Kaynakları Grup Müdürü</w:t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br/>
              <w:t>ALİ KAAN GENÇ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1AF91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F0CACB" w14:textId="703AF90F" w:rsidR="00792717" w:rsidRDefault="00792717" w:rsidP="00792717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="008D54D7"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t>Kalite Güvence Müdürü</w:t>
            </w:r>
          </w:p>
          <w:p w14:paraId="3B46FFE6" w14:textId="443F423D" w:rsidR="00492105" w:rsidRPr="00792717" w:rsidRDefault="00492105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ABDULLAH BAYDOĞAN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3F538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4DEBA6" w14:textId="77777777" w:rsidR="00792717" w:rsidRDefault="00792717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  <w:t>EMS Genel Müdürü</w:t>
            </w:r>
          </w:p>
          <w:p w14:paraId="5A0F8DF8" w14:textId="67DBE6B9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FATİH SALBARS</w:t>
            </w:r>
          </w:p>
        </w:tc>
      </w:tr>
      <w:tr w:rsidR="00492105" w:rsidRPr="00892FF4" w14:paraId="44B99370" w14:textId="77777777" w:rsidTr="00CC5D8D">
        <w:trPr>
          <w:cantSplit/>
          <w:trHeight w:val="288"/>
        </w:trPr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1BCB93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01A427B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537CF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659218" cy="566928"/>
                  <wp:effectExtent l="0" t="0" r="0" b="0"/>
                  <wp:docPr id="900102" name="Imza Ali Kaan Gen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2" name="Imza Ali Kaan Genc"/>
                          <pic:cNvPicPr/>
                        </pic:nvPicPr>
                        <pic:blipFill>
                          <a:blip r:embed="sigAliKaan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218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EAD2D9" w14:textId="5A968D6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78FB8" w14:textId="33A29CBB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850392" cy="566928"/>
                  <wp:effectExtent l="0" t="0" r="0" b="0"/>
                  <wp:docPr id="900104" name="Imza Abdullah Baydog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4" name="Imza Abdullah Baydogan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0392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16B39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B3A54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944879" cy="566928"/>
                  <wp:effectExtent l="0" t="0" r="0" b="0"/>
                  <wp:docPr id="900106" name="Imza Fatih Salbar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6" name="Imza Fatih Salbars"/>
                          <pic:cNvPicPr/>
                        </pic:nvPicPr>
                        <pic:blipFill>
                          <a:blip r:embed="sigFatih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79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92105" w:rsidRPr="00892FF4" w14:paraId="2F4E587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5A113F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0546466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9C4D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75A2820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C21C4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79C4BD84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A761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7051B4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5A6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CEB969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4593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362D1A7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19E75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BF8971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1E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5" w:right="849" w:bottom="709" w:left="284" w:header="708" w:footer="708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0276" w:type="dxa"/>
      <w:tblInd w:w="634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519"/>
      <w:gridCol w:w="4728"/>
      <w:gridCol w:w="1320"/>
      <w:gridCol w:w="1709"/>
    </w:tblGrid>
    <w:tr w:rsidR="00B524A9" w14:paraId="3FC2F665" w14:textId="77777777" w:rsidTr="005B3758">
      <w:trPr>
        <w:trHeight w:val="1039"/>
      </w:trPr>
      <w:tc>
        <w:tcPr>
          <w:tcW w:w="25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723900" cy="631163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1110" r="3312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0578" cy="654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EMBROIDERY INSTRUCTION</w:t>
          </w:r>
        </w:p>
        <w:p>
          <w:pPr>
            <w:pStyle w:val="GvdeMetni2"/>
            <w:bidi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  <w:rtl/>
            </w:rPr>
            <w:t>تعليمات التطريز</w:t>
          </w:r>
        </w:p>
      </w:tc>
      <w:tc>
        <w:tcPr>
          <w:tcW w:w="13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1709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EMS.ÜR.TL.05.05.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0</w:t>
          </w:r>
          <w:r w:rsidR="00EA160E">
            <w:rPr>
              <w:rFonts w:cstheme="minorHAnsi"/>
              <w:sz w:val="16"/>
              <w:szCs w:val="16"/>
            </w:rPr>
            <w:t>2.10.2026</w:t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</w:t>
          </w:r>
          <w:r w:rsidR="006F78E6" w:rsidRPr="00E34206">
            <w:rPr>
              <w:rFonts w:cstheme="minorHAnsi"/>
              <w:sz w:val="16"/>
              <w:szCs w:val="16"/>
            </w:rPr>
            <w:t>0</w:t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… / … / …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sigAliKaan" Type="http://schemas.openxmlformats.org/officeDocument/2006/relationships/image" Target="media/sig_ali_kaan.png"/><Relationship Id="sigFatih" Type="http://schemas.openxmlformats.org/officeDocument/2006/relationships/image" Target="media/sig_fatih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EMS.ÜR.TL.05.05. EMBROIDERY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