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yarn is received, checked, identified by lot and issued to knitting at Eroglu Knitting (EMS), so that only conforming yarn is used and different yarn lots are never mixed in one fabric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cotton, blended, synthetic, elastane, recycled (GRS/RCS) and organic yarns received at the yarn warehouse and to all yarn issued to the knitting department.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Warehouse Officer:</w:t>
      </w:r>
      <w:r>
        <w:rPr>
          <w:rFonts w:ascii="Calibri" w:hAnsi="Calibri" w:cs="Arial"/>
          <w:sz w:val="24"/>
          <w:szCs w:val="24"/>
        </w:rPr>
        <w:t xml:space="preserve"> Receives, counts, labels and stores the yarn by lot and issues it against the knitting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(Incoming):</w:t>
      </w:r>
      <w:r>
        <w:rPr>
          <w:rFonts w:ascii="Calibri" w:hAnsi="Calibri" w:cs="Arial"/>
          <w:sz w:val="24"/>
          <w:szCs w:val="24"/>
        </w:rPr>
        <w:t xml:space="preserve"> Checks documents, appearance, count and lot information and releases or holds the yarn.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Supervisor:</w:t>
      </w:r>
      <w:r>
        <w:rPr>
          <w:rFonts w:ascii="Calibri" w:hAnsi="Calibri" w:cs="Arial"/>
          <w:sz w:val="24"/>
          <w:szCs w:val="24"/>
        </w:rPr>
        <w:t xml:space="preserve"> Uses only released yarn and only one yarn lot per fabric lot unless approved otherwise.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Lot:</w:t>
      </w:r>
      <w:r>
        <w:rPr>
          <w:rFonts w:ascii="Calibri" w:hAnsi="Calibri" w:cs="Arial"/>
          <w:sz w:val="24"/>
          <w:szCs w:val="24"/>
        </w:rPr>
        <w:t xml:space="preserve"> Yarn produced by the spinner under the same lot number, with the same raw material and process conditions.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Count:</w:t>
      </w:r>
      <w:r>
        <w:rPr>
          <w:rFonts w:ascii="Calibri" w:hAnsi="Calibri" w:cs="Arial"/>
          <w:sz w:val="24"/>
          <w:szCs w:val="24"/>
        </w:rPr>
        <w:t xml:space="preserve"> The fineness of the yarn (e.g. Ne), as stated on the purchase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RECEIVING</w:t>
      </w:r>
    </w:p>
    <w:p>
      <w:pPr>
        <w:pStyle w:val="ListeParagraf"/>
        <w:spacing w:after="80"/>
        <w:ind w:left="709" w:right="0"/>
        <w:jc w:val="both"/>
      </w:pPr>
      <w:r>
        <w:rPr>
          <w:rFonts w:ascii="Calibri" w:hAnsi="Calibri" w:cs="Arial"/>
          <w:sz w:val="24"/>
          <w:szCs w:val="24"/>
        </w:rPr>
        <w:t xml:space="preserve">1.1. Check the delivery note, packing list and purchase order: yarn type, count, composition, lot number, number of cartons/bags and net weight.</w:t>
      </w:r>
    </w:p>
    <w:p>
      <w:pPr>
        <w:pStyle w:val="ListeParagraf"/>
        <w:spacing w:after="80"/>
        <w:ind w:left="709" w:right="0"/>
        <w:jc w:val="both"/>
      </w:pPr>
      <w:r>
        <w:rPr>
          <w:rFonts w:ascii="Calibri" w:hAnsi="Calibri" w:cs="Arial"/>
          <w:sz w:val="24"/>
          <w:szCs w:val="24"/>
        </w:rPr>
        <w:t xml:space="preserve">1.2. For GRS/RCS or organic yarn, also check the scope/transaction certificate references before unloading is completed.</w:t>
      </w:r>
    </w:p>
    <w:p>
      <w:pPr>
        <w:pStyle w:val="ListeParagraf"/>
        <w:spacing w:after="80"/>
        <w:ind w:left="709" w:right="0"/>
        <w:jc w:val="both"/>
      </w:pPr>
      <w:r>
        <w:rPr>
          <w:rFonts w:ascii="Calibri" w:hAnsi="Calibri" w:cs="Arial"/>
          <w:sz w:val="24"/>
          <w:szCs w:val="24"/>
        </w:rPr>
        <w:t xml:space="preserve">1.3. Check cartons for damage, wetness and contamination; weigh at least 10% of the cartons and compare with the packing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LOT CONTROL AND QUALITY CHECK</w:t>
      </w:r>
    </w:p>
    <w:p>
      <w:pPr>
        <w:pStyle w:val="ListeParagraf"/>
        <w:spacing w:after="80"/>
        <w:ind w:left="709" w:right="0"/>
        <w:jc w:val="both"/>
      </w:pPr>
      <w:r>
        <w:rPr>
          <w:rFonts w:ascii="Calibri" w:hAnsi="Calibri" w:cs="Arial"/>
          <w:sz w:val="24"/>
          <w:szCs w:val="24"/>
        </w:rPr>
        <w:t xml:space="preserve">2.1. Label every pallet with a yarn identification card: supplier, yarn type, count, lot number, receiving date and status (Waiting / Released / Rejected).</w:t>
      </w:r>
    </w:p>
    <w:p>
      <w:pPr>
        <w:pStyle w:val="ListeParagraf"/>
        <w:spacing w:after="80"/>
        <w:ind w:left="709" w:right="0"/>
        <w:jc w:val="both"/>
      </w:pPr>
      <w:r>
        <w:rPr>
          <w:rFonts w:ascii="Calibri" w:hAnsi="Calibri" w:cs="Arial"/>
          <w:sz w:val="24"/>
          <w:szCs w:val="24"/>
        </w:rPr>
        <w:t xml:space="preserve">2.2. QC takes cones from different cartons and checks appearance, cone winding, colour/whiteness under the light box and count where test equipment is available.</w:t>
      </w:r>
    </w:p>
    <w:p>
      <w:pPr>
        <w:pStyle w:val="ListeParagraf"/>
        <w:spacing w:after="80"/>
        <w:ind w:left="709" w:right="0"/>
        <w:jc w:val="both"/>
      </w:pPr>
      <w:r>
        <w:rPr>
          <w:rFonts w:ascii="Calibri" w:hAnsi="Calibri" w:cs="Arial"/>
          <w:sz w:val="24"/>
          <w:szCs w:val="24"/>
        </w:rPr>
        <w:t xml:space="preserve">2.3. Where required, a test knit (tube) is made and checked for barre, contamination and shade before bulk use.</w:t>
      </w:r>
    </w:p>
    <w:p>
      <w:pPr>
        <w:pStyle w:val="ListeParagraf"/>
        <w:spacing w:after="80"/>
        <w:ind w:left="709" w:right="0"/>
        <w:jc w:val="both"/>
      </w:pPr>
      <w:r>
        <w:rPr>
          <w:rFonts w:ascii="Calibri" w:hAnsi="Calibri" w:cs="Arial"/>
          <w:sz w:val="24"/>
          <w:szCs w:val="24"/>
        </w:rPr>
        <w:t xml:space="preserve">2.4. Store each lot separately on pallets, away from walls, moisture and direct sunlight; never mix lots on one pallet.</w:t>
      </w:r>
    </w:p>
    <w:p>
      <w:pPr>
        <w:pStyle w:val="ListeParagraf"/>
        <w:spacing w:after="80"/>
        <w:ind w:left="709" w:right="0"/>
        <w:jc w:val="both"/>
      </w:pPr>
      <w:r>
        <w:rPr>
          <w:rFonts w:ascii="Calibri" w:hAnsi="Calibri" w:cs="Arial"/>
          <w:sz w:val="24"/>
          <w:szCs w:val="24"/>
        </w:rPr>
        <w:t xml:space="preserve">2.5. Issue yarn by FIFO and record the lot number on the knitting order and the yarn issue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PROHIBITIONS</w:t>
      </w:r>
    </w:p>
    <w:p>
      <w:pPr>
        <w:pStyle w:val="ListeParagraf"/>
        <w:numPr>
          <w:ilvl w:val="0"/>
          <w:numId w:val="1"/>
        </w:numPr>
        <w:spacing w:after="60"/>
        <w:jc w:val="both"/>
      </w:pPr>
      <w:r>
        <w:rPr>
          <w:rFonts w:ascii="Calibri" w:hAnsi="Calibri" w:cs="Arial"/>
          <w:sz w:val="24"/>
          <w:szCs w:val="24"/>
        </w:rPr>
        <w:t xml:space="preserve">Do not issue yarn that is not released by QC.</w:t>
      </w:r>
    </w:p>
    <w:p>
      <w:pPr>
        <w:pStyle w:val="ListeParagraf"/>
        <w:numPr>
          <w:ilvl w:val="0"/>
          <w:numId w:val="1"/>
        </w:numPr>
        <w:spacing w:after="60"/>
        <w:jc w:val="both"/>
      </w:pPr>
      <w:r>
        <w:rPr>
          <w:rFonts w:ascii="Calibri" w:hAnsi="Calibri" w:cs="Arial"/>
          <w:sz w:val="24"/>
          <w:szCs w:val="24"/>
        </w:rPr>
        <w:t xml:space="preserve">Do not mix different yarn lots on the same machine or fabric lot without written approval of QC and the Knitting Supervisor.</w:t>
      </w:r>
    </w:p>
    <w:p>
      <w:pPr>
        <w:pStyle w:val="ListeParagraf"/>
        <w:numPr>
          <w:ilvl w:val="0"/>
          <w:numId w:val="1"/>
        </w:numPr>
        <w:spacing w:after="60"/>
        <w:jc w:val="both"/>
      </w:pPr>
      <w:r>
        <w:rPr>
          <w:rFonts w:ascii="Calibri" w:hAnsi="Calibri" w:cs="Arial"/>
          <w:sz w:val="24"/>
          <w:szCs w:val="24"/>
        </w:rPr>
        <w:t xml:space="preserve">Do not store recycled or organic yarn together with conventional yarn.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NONCONFORMITY</w:t>
      </w:r>
    </w:p>
    <w:p>
      <w:pPr>
        <w:pStyle w:val="ListeParagraf"/>
        <w:spacing w:after="80"/>
        <w:ind w:left="709" w:right="0"/>
        <w:jc w:val="both"/>
      </w:pPr>
      <w:r>
        <w:rPr>
          <w:rFonts w:ascii="Calibri" w:hAnsi="Calibri" w:cs="Arial"/>
          <w:sz w:val="24"/>
          <w:szCs w:val="24"/>
        </w:rPr>
        <w:t xml:space="preserve">4.1. Mark nonconforming yarn with a red "Rejected / Hold" label, move it to the quarantine area and inform Purchasing to contact the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Yarn Receiving Record, Yarn Identification Card and Yarn Issue Record</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EMS.GR.TL.14.01. Recycled Material Identification and Segregation Instruction</w:t>
      </w:r>
    </w:p>
    <w:p>
      <w:pPr>
        <w:pStyle w:val="ListeParagraf"/>
        <w:numPr>
          <w:ilvl w:val="0"/>
          <w:numId w:val="1"/>
        </w:numPr>
        <w:spacing w:after="60"/>
        <w:jc w:val="both"/>
      </w:pPr>
      <w:r>
        <w:rPr>
          <w:rFonts w:ascii="Calibri" w:hAnsi="Calibri" w:cs="Arial"/>
          <w:sz w:val="24"/>
          <w:szCs w:val="24"/>
        </w:rPr>
        <w:t xml:space="preserve">EMS.ÜR.TL.05.01. Circular Knitting Machine Operation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Yarn rejection rate per supplier and barre complaints caused by lot mixing are monitored monthly by Quality and Purchasing. This instruction is reviewed every year or after a related quality complaint.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استلام الغزل وفحصه وتمييزه حسب اللوط وصرفه إلى قسم التريكو لدى شركة إيروغلو للتريكو (EMS)، بحيث لا يُستخدم إلا الغزل المطابق ولا تُخلط لوطات الغزل المختلفة في أمر قماش واحد.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أنواع الغزل القطني والمخلوط والصناعي والإيلاستين والمعاد تدويره (GRS/RCS) والعضوي المستلمة في مخزن الغزل، وعلى جميع الغزل المصروف لقسم التريكو.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مخزن الغزل:</w:t>
      </w:r>
      <w:r>
        <w:rPr>
          <w:rFonts w:ascii="Calibri" w:hAnsi="Calibri" w:cs="Arial"/>
          <w:rtl/>
          <w:sz w:val="24"/>
          <w:szCs w:val="24"/>
        </w:rPr>
        <w:t xml:space="preserve"> يستلم الغزل ويعدّه ويضع عليه البطاقات ويخزنه حسب اللوط ويصرفه مقابل أمر التريكو.</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(الاستلام):</w:t>
      </w:r>
      <w:r>
        <w:rPr>
          <w:rFonts w:ascii="Calibri" w:hAnsi="Calibri" w:cs="Arial"/>
          <w:rtl/>
          <w:sz w:val="24"/>
          <w:szCs w:val="24"/>
        </w:rPr>
        <w:t xml:space="preserve"> تراجع المستندات والمظهر ونمرة الغزل وبيانات اللوط، وتفرج عن الغزل أو توقفه.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التريكو:</w:t>
      </w:r>
      <w:r>
        <w:rPr>
          <w:rFonts w:ascii="Calibri" w:hAnsi="Calibri" w:cs="Arial"/>
          <w:rtl/>
          <w:sz w:val="24"/>
          <w:szCs w:val="24"/>
        </w:rPr>
        <w:t xml:space="preserve"> يستخدم الغزل المفرج عنه فقط، ولوطًا واحدًا من الغزل لكل لوط قماش ما لم يُعتمد خلاف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لوط الغزل:</w:t>
      </w:r>
      <w:r>
        <w:rPr>
          <w:rFonts w:ascii="Calibri" w:hAnsi="Calibri" w:cs="Arial"/>
          <w:rtl/>
          <w:sz w:val="24"/>
          <w:szCs w:val="24"/>
        </w:rPr>
        <w:t xml:space="preserve"> الغزل الذي أنتجه مصنع الغزل تحت رقم لوط واحد وبنفس الخامة وظروف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نمرة الغزل:</w:t>
      </w:r>
      <w:r>
        <w:rPr>
          <w:rFonts w:ascii="Calibri" w:hAnsi="Calibri" w:cs="Arial"/>
          <w:rtl/>
          <w:sz w:val="24"/>
          <w:szCs w:val="24"/>
        </w:rPr>
        <w:t xml:space="preserve"> درجة نعومة الغزل (مثل Ne) كما هي محددة في أمر الشراء.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راجع إذن التسليم وقائمة التعبئة وأمر الشراء: نوع الغزل والنمرة والتركيب ورقم اللوط وعدد الكراتين/الأجولة والوزن الصافي.</w:t>
      </w:r>
    </w:p>
    <w:p>
      <w:pPr>
        <w:pStyle w:val="ListeParagraf"/>
        <w:bidi/>
        <w:spacing w:after="80"/>
        <w:ind w:left="0" w:right="709"/>
        <w:jc w:val="both"/>
      </w:pPr>
      <w:r>
        <w:rPr>
          <w:rFonts w:ascii="Calibri" w:hAnsi="Calibri" w:cs="Arial"/>
          <w:rtl/>
          <w:sz w:val="24"/>
          <w:szCs w:val="24"/>
        </w:rPr>
        <w:t xml:space="preserve">1.2. بالنسبة للغزل GRS/RCS أو العضوي، راجع أيضًا مراجع شهادة النطاق/شهادة المعاملة قبل إتمام التفريغ.</w:t>
      </w:r>
    </w:p>
    <w:p>
      <w:pPr>
        <w:pStyle w:val="ListeParagraf"/>
        <w:bidi/>
        <w:spacing w:after="80"/>
        <w:ind w:left="0" w:right="709"/>
        <w:jc w:val="both"/>
      </w:pPr>
      <w:r>
        <w:rPr>
          <w:rFonts w:ascii="Calibri" w:hAnsi="Calibri" w:cs="Arial"/>
          <w:rtl/>
          <w:sz w:val="24"/>
          <w:szCs w:val="24"/>
        </w:rPr>
        <w:t xml:space="preserve">1.3. افحص الكراتين بحثًا عن التلف أو البلل أو التلوث، وزِن 10% من الكراتين على الأقل وقارن الوزن بقائمة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التحكم في اللوط وفحص الجودة</w:t>
      </w:r>
    </w:p>
    <w:p>
      <w:pPr>
        <w:pStyle w:val="ListeParagraf"/>
        <w:bidi/>
        <w:spacing w:after="80"/>
        <w:ind w:left="0" w:right="709"/>
        <w:jc w:val="both"/>
      </w:pPr>
      <w:r>
        <w:rPr>
          <w:rFonts w:ascii="Calibri" w:hAnsi="Calibri" w:cs="Arial"/>
          <w:rtl/>
          <w:sz w:val="24"/>
          <w:szCs w:val="24"/>
        </w:rPr>
        <w:t xml:space="preserve">2.1. ضع على كل منصة بطاقة تعريف الغزل: المورد ونوع الغزل والنمرة ورقم اللوط وتاريخ الاستلام والحالة (انتظار / مفرج عنه / مرفوض).</w:t>
      </w:r>
    </w:p>
    <w:p>
      <w:pPr>
        <w:pStyle w:val="ListeParagraf"/>
        <w:bidi/>
        <w:spacing w:after="80"/>
        <w:ind w:left="0" w:right="709"/>
        <w:jc w:val="both"/>
      </w:pPr>
      <w:r>
        <w:rPr>
          <w:rFonts w:ascii="Calibri" w:hAnsi="Calibri" w:cs="Arial"/>
          <w:rtl/>
          <w:sz w:val="24"/>
          <w:szCs w:val="24"/>
        </w:rPr>
        <w:t xml:space="preserve">2.2. تأخذ الجودة بكرات من كراتين مختلفة وتفحص المظهر ولف البكرة واللون/درجة البياض في كابينة الإضاءة، والنمرة عند توفر أجهزة الاختبار.</w:t>
      </w:r>
    </w:p>
    <w:p>
      <w:pPr>
        <w:pStyle w:val="ListeParagraf"/>
        <w:bidi/>
        <w:spacing w:after="80"/>
        <w:ind w:left="0" w:right="709"/>
        <w:jc w:val="both"/>
      </w:pPr>
      <w:r>
        <w:rPr>
          <w:rFonts w:ascii="Calibri" w:hAnsi="Calibri" w:cs="Arial"/>
          <w:rtl/>
          <w:sz w:val="24"/>
          <w:szCs w:val="24"/>
        </w:rPr>
        <w:t xml:space="preserve">2.3. عند الحاجة، تُجرى عينة تريكو اختبارية (أنبوب) وتُفحص من حيث التخطيط (Barre) والتلوث ودرجة اللون قبل الاستخدام في الإنتاج الكمي.</w:t>
      </w:r>
    </w:p>
    <w:p>
      <w:pPr>
        <w:pStyle w:val="ListeParagraf"/>
        <w:bidi/>
        <w:spacing w:after="80"/>
        <w:ind w:left="0" w:right="709"/>
        <w:jc w:val="both"/>
      </w:pPr>
      <w:r>
        <w:rPr>
          <w:rFonts w:ascii="Calibri" w:hAnsi="Calibri" w:cs="Arial"/>
          <w:rtl/>
          <w:sz w:val="24"/>
          <w:szCs w:val="24"/>
        </w:rPr>
        <w:t xml:space="preserve">2.4. خزّن كل لوط منفصلًا على منصات بعيدًا عن الجدران والرطوبة وأشعة الشمس المباشرة، ولا تخلط اللوطات على منصة واحدة أبدًا.</w:t>
      </w:r>
    </w:p>
    <w:p>
      <w:pPr>
        <w:pStyle w:val="ListeParagraf"/>
        <w:bidi/>
        <w:spacing w:after="80"/>
        <w:ind w:left="0" w:right="709"/>
        <w:jc w:val="both"/>
      </w:pPr>
      <w:r>
        <w:rPr>
          <w:rFonts w:ascii="Calibri" w:hAnsi="Calibri" w:cs="Arial"/>
          <w:rtl/>
          <w:sz w:val="24"/>
          <w:szCs w:val="24"/>
        </w:rPr>
        <w:t xml:space="preserve">2.5. اصرف الغزل بطريقة الوارد أولًا يُصرف أولًا (FIFO)، وسجّل رقم اللوط في أمر التريكو وسجل صرف الغزل.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المحظورات</w:t>
      </w:r>
    </w:p>
    <w:p>
      <w:pPr>
        <w:pStyle w:val="ListeParagraf"/>
        <w:numPr>
          <w:ilvl w:val="0"/>
          <w:numId w:val="1"/>
        </w:numPr>
        <w:bidi/>
        <w:spacing w:after="60"/>
        <w:jc w:val="both"/>
      </w:pPr>
      <w:r>
        <w:rPr>
          <w:rFonts w:ascii="Calibri" w:hAnsi="Calibri" w:cs="Arial"/>
          <w:rtl/>
          <w:sz w:val="24"/>
          <w:szCs w:val="24"/>
        </w:rPr>
        <w:t xml:space="preserve">لا تصرف غزلًا لم تفرج عنه الجودة.</w:t>
      </w:r>
    </w:p>
    <w:p>
      <w:pPr>
        <w:pStyle w:val="ListeParagraf"/>
        <w:numPr>
          <w:ilvl w:val="0"/>
          <w:numId w:val="1"/>
        </w:numPr>
        <w:bidi/>
        <w:spacing w:after="60"/>
        <w:jc w:val="both"/>
      </w:pPr>
      <w:r>
        <w:rPr>
          <w:rFonts w:ascii="Calibri" w:hAnsi="Calibri" w:cs="Arial"/>
          <w:rtl/>
          <w:sz w:val="24"/>
          <w:szCs w:val="24"/>
        </w:rPr>
        <w:t xml:space="preserve">لا تخلط لوطات غزل مختلفة على نفس الماكينة أو في نفس لوط القماش دون موافقة كتابية من الجودة ومشرف التريكو.</w:t>
      </w:r>
    </w:p>
    <w:p>
      <w:pPr>
        <w:pStyle w:val="ListeParagraf"/>
        <w:numPr>
          <w:ilvl w:val="0"/>
          <w:numId w:val="1"/>
        </w:numPr>
        <w:bidi/>
        <w:spacing w:after="60"/>
        <w:jc w:val="both"/>
      </w:pPr>
      <w:r>
        <w:rPr>
          <w:rFonts w:ascii="Calibri" w:hAnsi="Calibri" w:cs="Arial"/>
          <w:rtl/>
          <w:sz w:val="24"/>
          <w:szCs w:val="24"/>
        </w:rPr>
        <w:t xml:space="preserve">لا تخزّن الغزل المعاد تدويره أو العضوي مع الغزل التقليدي.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عدم المطابقة</w:t>
      </w:r>
    </w:p>
    <w:p>
      <w:pPr>
        <w:pStyle w:val="ListeParagraf"/>
        <w:bidi/>
        <w:spacing w:after="80"/>
        <w:ind w:left="0" w:right="709"/>
        <w:jc w:val="both"/>
      </w:pPr>
      <w:r>
        <w:rPr>
          <w:rFonts w:ascii="Calibri" w:hAnsi="Calibri" w:cs="Arial"/>
          <w:rtl/>
          <w:sz w:val="24"/>
          <w:szCs w:val="24"/>
        </w:rPr>
        <w:t xml:space="preserve">4.1. ضع على الغزل غير المطابق بطاقة حمراء «مرفوض / موقوف»، وانقله إلى منطقة الحجر، وأبلغ قسم المشتريات للتواصل مع 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استلام الغزل وبطاقة تعريف الغزل وسجل صرف الغزل</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EMS.GR.TL.14.01. تعليمات تمييز المواد المعاد تدويرها وفصلها</w:t>
      </w:r>
    </w:p>
    <w:p>
      <w:pPr>
        <w:pStyle w:val="ListeParagraf"/>
        <w:numPr>
          <w:ilvl w:val="0"/>
          <w:numId w:val="1"/>
        </w:numPr>
        <w:bidi/>
        <w:spacing w:after="60"/>
        <w:jc w:val="both"/>
      </w:pPr>
      <w:r>
        <w:rPr>
          <w:rFonts w:ascii="Calibri" w:hAnsi="Calibri" w:cs="Arial"/>
          <w:rtl/>
          <w:sz w:val="24"/>
          <w:szCs w:val="24"/>
        </w:rPr>
        <w:t xml:space="preserve">EMS.ÜR.TL.05.01. تعليمات تشغيل ماكينات التريكو الدائرية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تتابع الجودة والمشتريات شهريًا نسبة رفض الغزل لكل مورد وشكاوى التخطيط الناتجة عن خلط اللوطات. وتُراجع هذه التعليمات سنويًا أو بعد شكوى جودة ذات صلة.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YARN RECEIVING AND YARN LOT CONTROL INSTRUCTION</w:t>
          </w:r>
        </w:p>
        <w:p>
          <w:pPr>
            <w:pStyle w:val="GvdeMetni2"/>
            <w:bidi/>
            <w:spacing w:line="276" w:lineRule="auto"/>
            <w:jc w:val="center"/>
          </w:pPr>
          <w:r>
            <w:rPr>
              <w:rFonts w:asciiTheme="minorHAnsi" w:hAnsiTheme="minorHAnsi" w:cs="Arial"/>
              <w:b/>
              <w:bCs/>
              <w:color w:val="000000" w:themeColor="text1"/>
              <w:sz w:val="22"/>
              <w:szCs w:val="22"/>
              <w:rtl/>
            </w:rPr>
            <w:t>تعليمات استلام الغزل والتحكم في لوطات الغزل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EMS.ÜR.TL.05.07. YARN RECEIVING AND YARN LOT CONTROL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