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PURPOSE</w:t>
      </w:r>
    </w:p>
    <w:p>
      <w:pPr>
        <w:pStyle w:val="ListeParagraf"/>
        <w:spacing w:after="80"/>
        <w:ind w:left="709" w:right="0"/>
        <w:jc w:val="both"/>
      </w:pPr>
      <w:r>
        <w:rPr>
          <w:rFonts w:ascii="Calibri" w:hAnsi="Calibri" w:cs="Arial"/>
          <w:sz w:val="24"/>
          <w:szCs w:val="24"/>
        </w:rPr>
        <w:t xml:space="preserve">This procedure defines how the occupational health and safety (OHS) risks of contractors working at Eroglu Knitting (EMS) are controlled, from contractor selection to the completion of the work, so that contractors, their workers and EMS employees are protected and contractors meet the same OHS standards as the Company.</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SCOPE</w:t>
      </w:r>
    </w:p>
    <w:p>
      <w:pPr>
        <w:pStyle w:val="ListeParagraf"/>
        <w:spacing w:after="80"/>
        <w:ind w:left="709" w:right="0"/>
        <w:jc w:val="both"/>
      </w:pPr>
      <w:r>
        <w:rPr>
          <w:rFonts w:ascii="Calibri" w:hAnsi="Calibri" w:cs="Arial"/>
          <w:sz w:val="24"/>
          <w:szCs w:val="24"/>
        </w:rPr>
        <w:t xml:space="preserve">This procedure applies to:</w:t>
      </w:r>
    </w:p>
    <w:p>
      <w:pPr>
        <w:pStyle w:val="ListeParagraf"/>
        <w:spacing w:after="80"/>
        <w:ind w:left="709" w:right="0"/>
        <w:jc w:val="both"/>
      </w:pPr>
      <w:r>
        <w:rPr>
          <w:rFonts w:ascii="Calibri" w:hAnsi="Calibri" w:cs="Arial"/>
          <w:sz w:val="24"/>
          <w:szCs w:val="24"/>
        </w:rPr>
        <w:t xml:space="preserve">• All contractors and their subcontractors working on EMS premises, for example construction, electrical, maintenance, machine installation, cleaning, pest control, canteen, security and waste collection companies,</w:t>
      </w:r>
    </w:p>
    <w:p>
      <w:pPr>
        <w:pStyle w:val="ListeParagraf"/>
        <w:spacing w:after="80"/>
        <w:ind w:left="709" w:right="0"/>
        <w:jc w:val="both"/>
      </w:pPr>
      <w:r>
        <w:rPr>
          <w:rFonts w:ascii="Calibri" w:hAnsi="Calibri" w:cs="Arial"/>
          <w:sz w:val="24"/>
          <w:szCs w:val="24"/>
        </w:rPr>
        <w:t xml:space="preserve">• Short-term service providers and the technical service engineers of machine suppliers,</w:t>
      </w:r>
    </w:p>
    <w:p>
      <w:pPr>
        <w:pStyle w:val="ListeParagraf"/>
        <w:spacing w:after="80"/>
        <w:ind w:left="709" w:right="0"/>
        <w:jc w:val="both"/>
      </w:pPr>
      <w:r>
        <w:rPr>
          <w:rFonts w:ascii="Calibri" w:hAnsi="Calibri" w:cs="Arial"/>
          <w:sz w:val="24"/>
          <w:szCs w:val="24"/>
        </w:rPr>
        <w:t xml:space="preserve">• All EMS departments that hire or supervise contractors.</w:t>
      </w:r>
    </w:p>
    <w:p>
      <w:pPr>
        <w:pStyle w:val="ListeParagraf"/>
        <w:spacing w:after="80"/>
        <w:ind w:left="709" w:right="0"/>
        <w:jc w:val="both"/>
      </w:pPr>
      <w:r>
        <w:rPr>
          <w:rFonts w:ascii="Calibri" w:hAnsi="Calibri" w:cs="Arial"/>
          <w:sz w:val="24"/>
          <w:szCs w:val="24"/>
        </w:rPr>
        <w:t xml:space="preserve">Outsourced production processes carried out at the supplier's own site are covered by EMS.SA.PRO.04.04.</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RESPONSIBILITIES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Requesting Department / Contract Owner:</w:t>
      </w:r>
      <w:r>
        <w:rPr>
          <w:rFonts w:ascii="Calibri" w:hAnsi="Calibri" w:cs="Arial"/>
          <w:sz w:val="24"/>
          <w:szCs w:val="24"/>
        </w:rPr>
        <w:t xml:space="preserve"> Defines the work, selects the contractor together with Purchasing, supervises the contractor on site and closes the work.</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Purchasing Department:</w:t>
      </w:r>
      <w:r>
        <w:rPr>
          <w:rFonts w:ascii="Calibri" w:hAnsi="Calibri" w:cs="Arial"/>
          <w:sz w:val="24"/>
          <w:szCs w:val="24"/>
        </w:rPr>
        <w:t xml:space="preserve"> Includes OHS requirements in the contract and collects the contractor's OHS documents before the work starts.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OHS Manager / OHS Specialist:</w:t>
      </w:r>
      <w:r>
        <w:rPr>
          <w:rFonts w:ascii="Calibri" w:hAnsi="Calibri" w:cs="Arial"/>
          <w:sz w:val="24"/>
          <w:szCs w:val="24"/>
        </w:rPr>
        <w:t xml:space="preserve"> Evaluates the OHS capability of contractors, gives the OHS induction, approves method statements and permits, and inspects contractor work.</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Security:</w:t>
      </w:r>
      <w:r>
        <w:rPr>
          <w:rFonts w:ascii="Calibri" w:hAnsi="Calibri" w:cs="Arial"/>
          <w:sz w:val="24"/>
          <w:szCs w:val="24"/>
        </w:rPr>
        <w:t xml:space="preserve"> Allows entry only to contractor workers on the approved list who have received the induction, and checks their tools and vehicles.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Contractor Supervisor:</w:t>
      </w:r>
      <w:r>
        <w:rPr>
          <w:rFonts w:ascii="Calibri" w:hAnsi="Calibri" w:cs="Arial"/>
          <w:sz w:val="24"/>
          <w:szCs w:val="24"/>
        </w:rPr>
        <w:t xml:space="preserve"> Ensures that the contractor's workers follow EMS rules, use PPE and report incidents immediately.</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DEFINITIONS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Contractor:</w:t>
      </w:r>
      <w:r>
        <w:rPr>
          <w:rFonts w:ascii="Calibri" w:hAnsi="Calibri" w:cs="Arial"/>
          <w:sz w:val="24"/>
          <w:szCs w:val="24"/>
        </w:rPr>
        <w:t xml:space="preserve"> An external organisation providing services to EMS on its premises according to agreed specifications and conditions.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Method Statement:</w:t>
      </w:r>
      <w:r>
        <w:rPr>
          <w:rFonts w:ascii="Calibri" w:hAnsi="Calibri" w:cs="Arial"/>
          <w:sz w:val="24"/>
          <w:szCs w:val="24"/>
        </w:rPr>
        <w:t xml:space="preserve"> A document prepared by the contractor that describes step by step how the work will be done safely, with its hazards and controls.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Contractor Induction:</w:t>
      </w:r>
      <w:r>
        <w:rPr>
          <w:rFonts w:ascii="Calibri" w:hAnsi="Calibri" w:cs="Arial"/>
          <w:sz w:val="24"/>
          <w:szCs w:val="24"/>
        </w:rPr>
        <w:t xml:space="preserve"> The OHS briefing given to every contractor worker before starting work at EMS.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MAIN AND SUB PROCESSES</w:t>
      </w:r>
    </w:p>
    <w:p>
      <w:pPr>
        <w:pStyle w:val="ListeParagraf"/>
        <w:spacing w:before="120" w:after="60"/>
        <w:ind w:left="709" w:right="0"/>
      </w:pPr>
      <w:r>
        <w:rPr>
          <w:rFonts w:ascii="Calibri" w:hAnsi="Calibri" w:cs="Arial"/>
          <w:b/>
          <w:bCs/>
          <w:sz w:val="24"/>
          <w:szCs w:val="24"/>
        </w:rPr>
        <w:t xml:space="preserve">1. SELECTION AND CONTRACT</w:t>
      </w:r>
    </w:p>
    <w:p>
      <w:pPr>
        <w:pStyle w:val="ListeParagraf"/>
        <w:spacing w:after="80"/>
        <w:ind w:left="709" w:right="0"/>
        <w:jc w:val="both"/>
      </w:pPr>
      <w:r>
        <w:rPr>
          <w:rFonts w:ascii="Calibri" w:hAnsi="Calibri" w:cs="Arial"/>
          <w:sz w:val="24"/>
          <w:szCs w:val="24"/>
        </w:rPr>
        <w:t xml:space="preserve">1.1. Contractors are selected according to EMS.SA.PRO.04.01. and EMS.SA.PRO.04.03.; for high-risk work their OHS performance is evaluated before the order is placed.</w:t>
      </w:r>
    </w:p>
    <w:p>
      <w:pPr>
        <w:pStyle w:val="ListeParagraf"/>
        <w:spacing w:after="80"/>
        <w:ind w:left="709" w:right="0"/>
        <w:jc w:val="both"/>
      </w:pPr>
      <w:r>
        <w:rPr>
          <w:rFonts w:ascii="Calibri" w:hAnsi="Calibri" w:cs="Arial"/>
          <w:sz w:val="24"/>
          <w:szCs w:val="24"/>
        </w:rPr>
        <w:t xml:space="preserve">1.2. Before the work starts, the contractor submits:</w:t>
      </w:r>
    </w:p>
    <w:p>
      <w:pPr>
        <w:pStyle w:val="ListeParagraf"/>
        <w:numPr>
          <w:ilvl w:val="0"/>
          <w:numId w:val="1"/>
        </w:numPr>
        <w:spacing w:after="60"/>
        <w:jc w:val="both"/>
      </w:pPr>
      <w:r>
        <w:rPr>
          <w:rFonts w:ascii="Calibri" w:hAnsi="Calibri" w:cs="Arial"/>
          <w:sz w:val="24"/>
          <w:szCs w:val="24"/>
        </w:rPr>
        <w:t xml:space="preserve">Company registration and valid insurance covering its workers,</w:t>
      </w:r>
    </w:p>
    <w:p>
      <w:pPr>
        <w:pStyle w:val="ListeParagraf"/>
        <w:numPr>
          <w:ilvl w:val="0"/>
          <w:numId w:val="1"/>
        </w:numPr>
        <w:spacing w:after="60"/>
        <w:jc w:val="both"/>
      </w:pPr>
      <w:r>
        <w:rPr>
          <w:rFonts w:ascii="Calibri" w:hAnsi="Calibri" w:cs="Arial"/>
          <w:sz w:val="24"/>
          <w:szCs w:val="24"/>
        </w:rPr>
        <w:t xml:space="preserve">List of workers with identity documents and proof of age (no worker under 18 is accepted for hazardous work),</w:t>
      </w:r>
    </w:p>
    <w:p>
      <w:pPr>
        <w:pStyle w:val="ListeParagraf"/>
        <w:numPr>
          <w:ilvl w:val="0"/>
          <w:numId w:val="1"/>
        </w:numPr>
        <w:spacing w:after="60"/>
        <w:jc w:val="both"/>
      </w:pPr>
      <w:r>
        <w:rPr>
          <w:rFonts w:ascii="Calibri" w:hAnsi="Calibri" w:cs="Arial"/>
          <w:sz w:val="24"/>
          <w:szCs w:val="24"/>
        </w:rPr>
        <w:t xml:space="preserve">Competence certificates for specialised work (electrical work, welding, scaffolding, forklift and crane operation),</w:t>
      </w:r>
    </w:p>
    <w:p>
      <w:pPr>
        <w:pStyle w:val="ListeParagraf"/>
        <w:numPr>
          <w:ilvl w:val="0"/>
          <w:numId w:val="1"/>
        </w:numPr>
        <w:spacing w:after="60"/>
        <w:jc w:val="both"/>
      </w:pPr>
      <w:r>
        <w:rPr>
          <w:rFonts w:ascii="Calibri" w:hAnsi="Calibri" w:cs="Arial"/>
          <w:sz w:val="24"/>
          <w:szCs w:val="24"/>
        </w:rPr>
        <w:t xml:space="preserve">A method statement and task risk assessment for medium- and high-risk work.</w:t>
      </w:r>
    </w:p>
    <w:p>
      <w:pPr>
        <w:pStyle w:val="ListeParagraf"/>
        <w:spacing w:after="80"/>
        <w:ind w:left="709" w:right="0"/>
        <w:jc w:val="both"/>
      </w:pPr>
      <w:r>
        <w:rPr>
          <w:rFonts w:ascii="Calibri" w:hAnsi="Calibri" w:cs="Arial"/>
          <w:sz w:val="24"/>
          <w:szCs w:val="24"/>
        </w:rPr>
        <w:t xml:space="preserve">1.3. The contract includes the obligation to comply with EMS OHS rules, the EMS Code of Conduct and applicable Egyptian legislation, including working hours, wages and the prohibition of child and forced labour.</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2. INDUCTION AND ENTRY</w:t>
      </w:r>
    </w:p>
    <w:p>
      <w:pPr>
        <w:pStyle w:val="ListeParagraf"/>
        <w:spacing w:after="80"/>
        <w:ind w:left="709" w:right="0"/>
        <w:jc w:val="both"/>
      </w:pPr>
      <w:r>
        <w:rPr>
          <w:rFonts w:ascii="Calibri" w:hAnsi="Calibri" w:cs="Arial"/>
          <w:sz w:val="24"/>
          <w:szCs w:val="24"/>
        </w:rPr>
        <w:t xml:space="preserve">2.1. Every contractor worker receives the EMS OHS induction before the first entry: site rules, hazards of the work area, PPE, emergency alarm, evacuation routes and assembly points, the smoking ban and incident reporting.</w:t>
      </w:r>
    </w:p>
    <w:p>
      <w:pPr>
        <w:pStyle w:val="ListeParagraf"/>
        <w:spacing w:after="80"/>
        <w:ind w:left="709" w:right="0"/>
        <w:jc w:val="both"/>
      </w:pPr>
      <w:r>
        <w:rPr>
          <w:rFonts w:ascii="Calibri" w:hAnsi="Calibri" w:cs="Arial"/>
          <w:sz w:val="24"/>
          <w:szCs w:val="24"/>
        </w:rPr>
        <w:t xml:space="preserve">2.2. The induction is recorded with the worker's signature and an entry card is issued; security checks the card at every entry.</w:t>
      </w:r>
    </w:p>
    <w:p>
      <w:pPr>
        <w:pStyle w:val="ListeParagraf"/>
        <w:spacing w:after="80"/>
        <w:ind w:left="709" w:right="0"/>
        <w:jc w:val="both"/>
      </w:pPr>
      <w:r>
        <w:rPr>
          <w:rFonts w:ascii="Calibri" w:hAnsi="Calibri" w:cs="Arial"/>
          <w:sz w:val="24"/>
          <w:szCs w:val="24"/>
        </w:rPr>
        <w:t xml:space="preserve">2.3. Contractor workers wear their own approved PPE; where they have none, EMS provides it.</w:t>
      </w:r>
    </w:p>
    <w:p>
      <w:pPr>
        <w:pStyle w:val="ListeParagraf"/>
        <w:spacing w:after="80"/>
        <w:ind w:left="709" w:right="0"/>
        <w:jc w:val="both"/>
      </w:pPr>
      <w:r>
        <w:rPr>
          <w:rFonts w:ascii="Calibri" w:hAnsi="Calibri" w:cs="Arial"/>
          <w:sz w:val="24"/>
          <w:szCs w:val="24"/>
        </w:rPr>
        <w:t xml:space="preserve">2.4. Tools, electrical equipment, ladders and lifting equipment brought onto the site are inspected by the OHS Specialist or maintenance before use; defective equipment is not allowed in.</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3. CONTROL OF WORK ON SITE</w:t>
      </w:r>
    </w:p>
    <w:p>
      <w:pPr>
        <w:pStyle w:val="ListeParagraf"/>
        <w:spacing w:after="80"/>
        <w:ind w:left="709" w:right="0"/>
        <w:jc w:val="both"/>
      </w:pPr>
      <w:r>
        <w:rPr>
          <w:rFonts w:ascii="Calibri" w:hAnsi="Calibri" w:cs="Arial"/>
          <w:sz w:val="24"/>
          <w:szCs w:val="24"/>
        </w:rPr>
        <w:t xml:space="preserve">3.1. High-risk work (hot work, work at height, confined space entry, electrical work) starts only with a permit according to EMS.İS.PRO.18.04., and energy isolation follows EMS.İS.PRO.18.05.</w:t>
      </w:r>
    </w:p>
    <w:p>
      <w:pPr>
        <w:pStyle w:val="ListeParagraf"/>
        <w:spacing w:after="80"/>
        <w:ind w:left="709" w:right="0"/>
        <w:jc w:val="both"/>
      </w:pPr>
      <w:r>
        <w:rPr>
          <w:rFonts w:ascii="Calibri" w:hAnsi="Calibri" w:cs="Arial"/>
          <w:sz w:val="24"/>
          <w:szCs w:val="24"/>
        </w:rPr>
        <w:t xml:space="preserve">3.2. The contract owner and the OHS Specialist inspect contractor work at least daily for high-risk work and weekly for other work, and record their findings.</w:t>
      </w:r>
    </w:p>
    <w:p>
      <w:pPr>
        <w:pStyle w:val="ListeParagraf"/>
        <w:spacing w:after="80"/>
        <w:ind w:left="709" w:right="0"/>
        <w:jc w:val="both"/>
      </w:pPr>
      <w:r>
        <w:rPr>
          <w:rFonts w:ascii="Calibri" w:hAnsi="Calibri" w:cs="Arial"/>
          <w:sz w:val="24"/>
          <w:szCs w:val="24"/>
        </w:rPr>
        <w:t xml:space="preserve">3.3. Any unsafe act or condition is stopped immediately and the work restarts only after correction. Serious or repeated violations may lead to the removal of the worker from the site or termination of the contract.</w:t>
      </w:r>
    </w:p>
    <w:p>
      <w:pPr>
        <w:pStyle w:val="ListeParagraf"/>
        <w:spacing w:after="80"/>
        <w:ind w:left="709" w:right="0"/>
        <w:jc w:val="both"/>
      </w:pPr>
      <w:r>
        <w:rPr>
          <w:rFonts w:ascii="Calibri" w:hAnsi="Calibri" w:cs="Arial"/>
          <w:sz w:val="24"/>
          <w:szCs w:val="24"/>
        </w:rPr>
        <w:t xml:space="preserve">3.4. Contractor incidents and near misses are reported immediately to the OHS Specialist and investigated in the same way as EMS incidents.</w:t>
      </w:r>
    </w:p>
    <w:p>
      <w:pPr>
        <w:pStyle w:val="ListeParagraf"/>
        <w:spacing w:after="80"/>
        <w:ind w:left="709" w:right="0"/>
        <w:jc w:val="both"/>
      </w:pPr>
      <w:r>
        <w:rPr>
          <w:rFonts w:ascii="Calibri" w:hAnsi="Calibri" w:cs="Arial"/>
          <w:sz w:val="24"/>
          <w:szCs w:val="24"/>
        </w:rPr>
        <w:t xml:space="preserve">3.5. Contractors keep their work area clean, store materials safely and remove their waste according to the EMS waste management rules; chemicals may be brought onto the site only with prior approval and a safety data sheet.</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4. COMPLETION AND EVALUATION</w:t>
      </w:r>
    </w:p>
    <w:p>
      <w:pPr>
        <w:pStyle w:val="ListeParagraf"/>
        <w:spacing w:after="80"/>
        <w:ind w:left="709" w:right="0"/>
        <w:jc w:val="both"/>
      </w:pPr>
      <w:r>
        <w:rPr>
          <w:rFonts w:ascii="Calibri" w:hAnsi="Calibri" w:cs="Arial"/>
          <w:sz w:val="24"/>
          <w:szCs w:val="24"/>
        </w:rPr>
        <w:t xml:space="preserve">4.1. At the end of the work, the contract owner inspects the area together with the contractor, confirms that permits are closed and that guards and safety devices are restored, and signs the completion form.</w:t>
      </w:r>
    </w:p>
    <w:p>
      <w:pPr>
        <w:pStyle w:val="ListeParagraf"/>
        <w:spacing w:after="80"/>
        <w:ind w:left="709" w:right="0"/>
        <w:jc w:val="both"/>
      </w:pPr>
      <w:r>
        <w:rPr>
          <w:rFonts w:ascii="Calibri" w:hAnsi="Calibri" w:cs="Arial"/>
          <w:sz w:val="24"/>
          <w:szCs w:val="24"/>
        </w:rPr>
        <w:t xml:space="preserve">4.2. The OHS performance of the contractor (incidents, violations, documentation, housekeeping) is evaluated and taken into the supplier evaluation according to EMS.SA.PRO.04.03.</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5. MONITORING AND PERFORMANCE</w:t>
      </w:r>
    </w:p>
    <w:p>
      <w:pPr>
        <w:pStyle w:val="ListeParagraf"/>
        <w:spacing w:after="80"/>
        <w:ind w:left="709" w:right="0"/>
        <w:jc w:val="both"/>
      </w:pPr>
      <w:r>
        <w:rPr>
          <w:rFonts w:ascii="Calibri" w:hAnsi="Calibri" w:cs="Arial"/>
          <w:sz w:val="24"/>
          <w:szCs w:val="24"/>
        </w:rPr>
        <w:t xml:space="preserve">5.1. The OHS Specialist reports the following to the OHS Committee every month:</w:t>
      </w:r>
    </w:p>
    <w:p>
      <w:pPr>
        <w:pStyle w:val="ListeParagraf"/>
        <w:numPr>
          <w:ilvl w:val="0"/>
          <w:numId w:val="1"/>
        </w:numPr>
        <w:spacing w:after="60"/>
        <w:jc w:val="both"/>
      </w:pPr>
      <w:r>
        <w:rPr>
          <w:rFonts w:ascii="Calibri" w:hAnsi="Calibri" w:cs="Arial"/>
          <w:sz w:val="24"/>
          <w:szCs w:val="24"/>
        </w:rPr>
        <w:t xml:space="preserve">Number of contractor workers on site and the percentage who received the induction – target 100%,</w:t>
      </w:r>
    </w:p>
    <w:p>
      <w:pPr>
        <w:pStyle w:val="ListeParagraf"/>
        <w:numPr>
          <w:ilvl w:val="0"/>
          <w:numId w:val="1"/>
        </w:numPr>
        <w:spacing w:after="60"/>
        <w:jc w:val="both"/>
      </w:pPr>
      <w:r>
        <w:rPr>
          <w:rFonts w:ascii="Calibri" w:hAnsi="Calibri" w:cs="Arial"/>
          <w:sz w:val="24"/>
          <w:szCs w:val="24"/>
        </w:rPr>
        <w:t xml:space="preserve">Number of contractor inspections and violations found,</w:t>
      </w:r>
    </w:p>
    <w:p>
      <w:pPr>
        <w:pStyle w:val="ListeParagraf"/>
        <w:numPr>
          <w:ilvl w:val="0"/>
          <w:numId w:val="1"/>
        </w:numPr>
        <w:spacing w:after="60"/>
        <w:jc w:val="both"/>
      </w:pPr>
      <w:r>
        <w:rPr>
          <w:rFonts w:ascii="Calibri" w:hAnsi="Calibri" w:cs="Arial"/>
          <w:sz w:val="24"/>
          <w:szCs w:val="24"/>
        </w:rPr>
        <w:t xml:space="preserve">Number of contractor incidents and near misses.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6. RELATED DOCUMENTS AND RECORDS</w:t>
      </w:r>
    </w:p>
    <w:p>
      <w:pPr>
        <w:pStyle w:val="ListeParagraf"/>
        <w:numPr>
          <w:ilvl w:val="0"/>
          <w:numId w:val="1"/>
        </w:numPr>
        <w:spacing w:after="60"/>
        <w:jc w:val="both"/>
      </w:pPr>
      <w:r>
        <w:rPr>
          <w:rFonts w:ascii="Calibri" w:hAnsi="Calibri" w:cs="Arial"/>
          <w:sz w:val="24"/>
          <w:szCs w:val="24"/>
        </w:rPr>
        <w:t xml:space="preserve">Approved Contractor List and Contractor OHS Document Checklist</w:t>
      </w:r>
    </w:p>
    <w:p>
      <w:pPr>
        <w:pStyle w:val="ListeParagraf"/>
        <w:numPr>
          <w:ilvl w:val="0"/>
          <w:numId w:val="1"/>
        </w:numPr>
        <w:spacing w:after="60"/>
        <w:jc w:val="both"/>
      </w:pPr>
      <w:r>
        <w:rPr>
          <w:rFonts w:ascii="Calibri" w:hAnsi="Calibri" w:cs="Arial"/>
          <w:sz w:val="24"/>
          <w:szCs w:val="24"/>
        </w:rPr>
        <w:t xml:space="preserve">Contractor Induction Records and Entry Cards</w:t>
      </w:r>
    </w:p>
    <w:p>
      <w:pPr>
        <w:pStyle w:val="ListeParagraf"/>
        <w:numPr>
          <w:ilvl w:val="0"/>
          <w:numId w:val="1"/>
        </w:numPr>
        <w:spacing w:after="60"/>
        <w:jc w:val="both"/>
      </w:pPr>
      <w:r>
        <w:rPr>
          <w:rFonts w:ascii="Calibri" w:hAnsi="Calibri" w:cs="Arial"/>
          <w:sz w:val="24"/>
          <w:szCs w:val="24"/>
        </w:rPr>
        <w:t xml:space="preserve">Method Statements and Task Risk Assessments</w:t>
      </w:r>
    </w:p>
    <w:p>
      <w:pPr>
        <w:pStyle w:val="ListeParagraf"/>
        <w:numPr>
          <w:ilvl w:val="0"/>
          <w:numId w:val="1"/>
        </w:numPr>
        <w:spacing w:after="60"/>
        <w:jc w:val="both"/>
      </w:pPr>
      <w:r>
        <w:rPr>
          <w:rFonts w:ascii="Calibri" w:hAnsi="Calibri" w:cs="Arial"/>
          <w:sz w:val="24"/>
          <w:szCs w:val="24"/>
        </w:rPr>
        <w:t xml:space="preserve">Contractor Inspection and Completion Forms</w:t>
      </w:r>
    </w:p>
    <w:p>
      <w:pPr>
        <w:pStyle w:val="ListeParagraf"/>
        <w:numPr>
          <w:ilvl w:val="0"/>
          <w:numId w:val="1"/>
        </w:numPr>
        <w:spacing w:after="60"/>
        <w:jc w:val="both"/>
      </w:pPr>
      <w:r>
        <w:rPr>
          <w:rFonts w:ascii="Calibri" w:hAnsi="Calibri" w:cs="Arial"/>
          <w:sz w:val="24"/>
          <w:szCs w:val="24"/>
        </w:rPr>
        <w:t xml:space="preserve">EMS.SA.PRO.04.01. Contractor (Supplier) Selection Procedure</w:t>
      </w:r>
    </w:p>
    <w:p>
      <w:pPr>
        <w:pStyle w:val="ListeParagraf"/>
        <w:numPr>
          <w:ilvl w:val="0"/>
          <w:numId w:val="1"/>
        </w:numPr>
        <w:spacing w:after="60"/>
        <w:jc w:val="both"/>
      </w:pPr>
      <w:r>
        <w:rPr>
          <w:rFonts w:ascii="Calibri" w:hAnsi="Calibri" w:cs="Arial"/>
          <w:sz w:val="24"/>
          <w:szCs w:val="24"/>
        </w:rPr>
        <w:t xml:space="preserve">EMS.SA.PRO.04.03. Supplier and Subcontractor Evaluation Procedure</w:t>
      </w:r>
    </w:p>
    <w:p>
      <w:pPr>
        <w:pStyle w:val="ListeParagraf"/>
        <w:numPr>
          <w:ilvl w:val="0"/>
          <w:numId w:val="1"/>
        </w:numPr>
        <w:spacing w:after="60"/>
        <w:jc w:val="both"/>
      </w:pPr>
      <w:r>
        <w:rPr>
          <w:rFonts w:ascii="Calibri" w:hAnsi="Calibri" w:cs="Arial"/>
          <w:sz w:val="24"/>
          <w:szCs w:val="24"/>
        </w:rPr>
        <w:t xml:space="preserve">EMS.İD.PRO.03.02. Visitor and Subcontractor Vehicle Entry/Exit Procedure</w:t>
      </w:r>
    </w:p>
    <w:p>
      <w:pPr>
        <w:pStyle w:val="ListeParagraf"/>
        <w:numPr>
          <w:ilvl w:val="0"/>
          <w:numId w:val="1"/>
        </w:numPr>
        <w:spacing w:after="60"/>
        <w:jc w:val="both"/>
      </w:pPr>
      <w:r>
        <w:rPr>
          <w:rFonts w:ascii="Calibri" w:hAnsi="Calibri" w:cs="Arial"/>
          <w:sz w:val="24"/>
          <w:szCs w:val="24"/>
        </w:rPr>
        <w:t xml:space="preserve">EMS.İS.PRO.18.04. Permit to Work Procedure (Hot Work, Work at Height, Confined Space)</w:t>
      </w:r>
    </w:p>
    <w:p>
      <w:pPr>
        <w:pStyle w:val="ListeParagraf"/>
        <w:numPr>
          <w:ilvl w:val="0"/>
          <w:numId w:val="1"/>
        </w:numPr>
        <w:spacing w:after="60"/>
        <w:jc w:val="both"/>
      </w:pPr>
      <w:r>
        <w:rPr>
          <w:rFonts w:ascii="Calibri" w:hAnsi="Calibri" w:cs="Arial"/>
          <w:sz w:val="24"/>
          <w:szCs w:val="24"/>
        </w:rPr>
        <w:t xml:space="preserve">EMS.İS.PRO.18.05. Lock-Out Tag-Out (LOTO) Procedure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7. FEEDBACK AND MONITORING</w:t>
      </w:r>
    </w:p>
    <w:p>
      <w:pPr>
        <w:pStyle w:val="ListeParagraf"/>
        <w:spacing w:after="80"/>
        <w:ind w:left="709" w:right="0"/>
        <w:jc w:val="both"/>
      </w:pPr>
      <w:r>
        <w:rPr>
          <w:rFonts w:ascii="Calibri" w:hAnsi="Calibri" w:cs="Arial"/>
          <w:sz w:val="24"/>
          <w:szCs w:val="24"/>
        </w:rPr>
        <w:t xml:space="preserve">This procedure is reviewed every year by the OHS Manager, and also after any contractor incident. Feedback from contract owners, contractors and the OHS Committee is evaluated and the procedure is revised when necessary.</w:t>
      </w:r>
    </w:p>
    <w:p>
      <w:pPr>
        <w:pStyle w:val="ListeParagraf"/>
        <w:pageBreakBefore/>
        <w:bidi/>
        <w:spacing w:before="120" w:after="60"/>
        <w:ind w:left="0" w:right="709"/>
      </w:pPr>
      <w:r>
        <w:rPr>
          <w:rFonts w:ascii="Calibri" w:hAnsi="Calibri" w:cs="Arial"/>
          <w:b/>
          <w:bCs/>
          <w:rtl/>
          <w:sz w:val="24"/>
          <w:szCs w:val="24"/>
        </w:rPr>
        <w:t xml:space="preserve">الغرض</w:t>
      </w:r>
    </w:p>
    <w:p>
      <w:pPr>
        <w:pStyle w:val="ListeParagraf"/>
        <w:bidi/>
        <w:spacing w:after="80"/>
        <w:ind w:left="0" w:right="709"/>
        <w:jc w:val="both"/>
      </w:pPr>
      <w:r>
        <w:rPr>
          <w:rFonts w:ascii="Calibri" w:hAnsi="Calibri" w:cs="Arial"/>
          <w:rtl/>
          <w:sz w:val="24"/>
          <w:szCs w:val="24"/>
        </w:rPr>
        <w:t xml:space="preserve">يحدد هذا الإجراء كيفية التحكم في مخاطر الصحة والسلامة المهنية للمقاولين العاملين في شركة إيروغلو للتريكو (EMS)، بدءًا من اختيار المقاول وحتى إنجاز العمل، بما يضمن حماية المقاولين وعمالهم وموظفي EMS، والتزام المقاولين بمعايير الصحة والسلامة المهنية نفسها المطبقة في الشركة.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النطاق</w:t>
      </w:r>
    </w:p>
    <w:p>
      <w:pPr>
        <w:pStyle w:val="ListeParagraf"/>
        <w:bidi/>
        <w:spacing w:after="80"/>
        <w:ind w:left="0" w:right="709"/>
        <w:jc w:val="both"/>
      </w:pPr>
      <w:r>
        <w:rPr>
          <w:rFonts w:ascii="Calibri" w:hAnsi="Calibri" w:cs="Arial"/>
          <w:rtl/>
          <w:sz w:val="24"/>
          <w:szCs w:val="24"/>
        </w:rPr>
        <w:t xml:space="preserve">ينطبق هذا الإجراء على:</w:t>
      </w:r>
    </w:p>
    <w:p>
      <w:pPr>
        <w:pStyle w:val="ListeParagraf"/>
        <w:bidi/>
        <w:spacing w:after="80"/>
        <w:ind w:left="0" w:right="709"/>
        <w:jc w:val="both"/>
      </w:pPr>
      <w:r>
        <w:rPr>
          <w:rFonts w:ascii="Calibri" w:hAnsi="Calibri" w:cs="Arial"/>
          <w:rtl/>
          <w:sz w:val="24"/>
          <w:szCs w:val="24"/>
        </w:rPr>
        <w:t xml:space="preserve">• جميع المقاولين ومقاوليهم من الباطن العاملين داخل منشأة EMS، مثل شركات الإنشاءات والأعمال الكهربائية والصيانة وتركيب الآلات والنظافة ومكافحة الآفات والمقصف والأمن وجمع النفايات،</w:t>
      </w:r>
    </w:p>
    <w:p>
      <w:pPr>
        <w:pStyle w:val="ListeParagraf"/>
        <w:bidi/>
        <w:spacing w:after="80"/>
        <w:ind w:left="0" w:right="709"/>
        <w:jc w:val="both"/>
      </w:pPr>
      <w:r>
        <w:rPr>
          <w:rFonts w:ascii="Calibri" w:hAnsi="Calibri" w:cs="Arial"/>
          <w:rtl/>
          <w:sz w:val="24"/>
          <w:szCs w:val="24"/>
        </w:rPr>
        <w:t xml:space="preserve">• مقدمي الخدمات قصيرة الأجل ومهندسي الخدمة الفنية التابعين لموردي الآلات،</w:t>
      </w:r>
    </w:p>
    <w:p>
      <w:pPr>
        <w:pStyle w:val="ListeParagraf"/>
        <w:bidi/>
        <w:spacing w:after="80"/>
        <w:ind w:left="0" w:right="709"/>
        <w:jc w:val="both"/>
      </w:pPr>
      <w:r>
        <w:rPr>
          <w:rFonts w:ascii="Calibri" w:hAnsi="Calibri" w:cs="Arial"/>
          <w:rtl/>
          <w:sz w:val="24"/>
          <w:szCs w:val="24"/>
        </w:rPr>
        <w:t xml:space="preserve">• جميع أقسام EMS التي تتعاقد مع المقاولين أو تشرف عليهم.</w:t>
      </w:r>
    </w:p>
    <w:p>
      <w:pPr>
        <w:pStyle w:val="ListeParagraf"/>
        <w:bidi/>
        <w:spacing w:after="80"/>
        <w:ind w:left="0" w:right="709"/>
        <w:jc w:val="both"/>
      </w:pPr>
      <w:r>
        <w:rPr>
          <w:rFonts w:ascii="Calibri" w:hAnsi="Calibri" w:cs="Arial"/>
          <w:rtl/>
          <w:sz w:val="24"/>
          <w:szCs w:val="24"/>
        </w:rPr>
        <w:t xml:space="preserve">أما عمليات الإنتاج المسندة إلى جهات خارجية والمنفذة في موقع المورد نفسه فيغطيها الإجراء EMS.SA.PRO.04.04.</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المسؤوليات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القسم الطالب / مالك العقد:</w:t>
      </w:r>
      <w:r>
        <w:rPr>
          <w:rFonts w:ascii="Calibri" w:hAnsi="Calibri" w:cs="Arial"/>
          <w:rtl/>
          <w:sz w:val="24"/>
          <w:szCs w:val="24"/>
        </w:rPr>
        <w:t xml:space="preserve"> يحدد العمل، ويختار المقاول بالتعاون مع المشتريات، ويشرف على المقاول في الموقع، ويغلق العمل.</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قسم المشتريات:</w:t>
      </w:r>
      <w:r>
        <w:rPr>
          <w:rFonts w:ascii="Calibri" w:hAnsi="Calibri" w:cs="Arial"/>
          <w:rtl/>
          <w:sz w:val="24"/>
          <w:szCs w:val="24"/>
        </w:rPr>
        <w:t xml:space="preserve"> يُدرج متطلبات الصحة والسلامة المهنية في العقد، ويجمع وثائق السلامة الخاصة بالمقاول قبل بدء العمل.</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 أخصائي السلامة والصحة المهنية:</w:t>
      </w:r>
      <w:r>
        <w:rPr>
          <w:rFonts w:ascii="Calibri" w:hAnsi="Calibri" w:cs="Arial"/>
          <w:rtl/>
          <w:sz w:val="24"/>
          <w:szCs w:val="24"/>
        </w:rPr>
        <w:t xml:space="preserve"> يقيّم قدرة المقاولين في مجال السلامة، ويقدم التوجيه التعريفي بالسلامة، ويعتمد بيانات طريقة العمل والتصاريح، ويفتش أعمال المقاولين.</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الأمن:</w:t>
      </w:r>
      <w:r>
        <w:rPr>
          <w:rFonts w:ascii="Calibri" w:hAnsi="Calibri" w:cs="Arial"/>
          <w:rtl/>
          <w:sz w:val="24"/>
          <w:szCs w:val="24"/>
        </w:rPr>
        <w:t xml:space="preserve"> لا يسمح بالدخول إلا لعمال المقاول المدرجين في القائمة المعتمدة والذين تلقوا التوجيه التعريفي، ويفحص أدواتهم ومركباتهم.</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مشرف المقاول:</w:t>
      </w:r>
      <w:r>
        <w:rPr>
          <w:rFonts w:ascii="Calibri" w:hAnsi="Calibri" w:cs="Arial"/>
          <w:rtl/>
          <w:sz w:val="24"/>
          <w:szCs w:val="24"/>
        </w:rPr>
        <w:t xml:space="preserve"> يضمن التزام عمال المقاول بقواعد EMS واستخدامهم لمعدات الحماية الشخصية وإبلاغهم الفوري عن الحوادث.</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التعريفات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المقاول:</w:t>
      </w:r>
      <w:r>
        <w:rPr>
          <w:rFonts w:ascii="Calibri" w:hAnsi="Calibri" w:cs="Arial"/>
          <w:rtl/>
          <w:sz w:val="24"/>
          <w:szCs w:val="24"/>
        </w:rPr>
        <w:t xml:space="preserve"> جهة خارجية تقدم خدمات لـ EMS داخل منشأتها وفق مواصفات وشروط متفق عليها.</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بيان طريقة العمل:</w:t>
      </w:r>
      <w:r>
        <w:rPr>
          <w:rFonts w:ascii="Calibri" w:hAnsi="Calibri" w:cs="Arial"/>
          <w:rtl/>
          <w:sz w:val="24"/>
          <w:szCs w:val="24"/>
        </w:rPr>
        <w:t xml:space="preserve"> وثيقة يعدها المقاول تصف خطوة بخطوة كيفية تنفيذ العمل بأمان، مع المخاطر وإجراءات التحكم.</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التوجيه التعريفي للمقاول:</w:t>
      </w:r>
      <w:r>
        <w:rPr>
          <w:rFonts w:ascii="Calibri" w:hAnsi="Calibri" w:cs="Arial"/>
          <w:rtl/>
          <w:sz w:val="24"/>
          <w:szCs w:val="24"/>
        </w:rPr>
        <w:t xml:space="preserve"> إحاطة السلامة والصحة المهنية التي تُقدَّم لكل عامل من عمال المقاول قبل بدء العمل في EMS.</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العمليات الرئيسية والفرعية</w:t>
      </w:r>
    </w:p>
    <w:p>
      <w:pPr>
        <w:pStyle w:val="ListeParagraf"/>
        <w:bidi/>
        <w:spacing w:before="120" w:after="60"/>
        <w:ind w:left="0" w:right="709"/>
      </w:pPr>
      <w:r>
        <w:rPr>
          <w:rFonts w:ascii="Calibri" w:hAnsi="Calibri" w:cs="Arial"/>
          <w:b/>
          <w:bCs/>
          <w:rtl/>
          <w:sz w:val="24"/>
          <w:szCs w:val="24"/>
        </w:rPr>
        <w:t xml:space="preserve">1. الاختيار والتعاقد</w:t>
      </w:r>
    </w:p>
    <w:p>
      <w:pPr>
        <w:pStyle w:val="ListeParagraf"/>
        <w:bidi/>
        <w:spacing w:after="80"/>
        <w:ind w:left="0" w:right="709"/>
        <w:jc w:val="both"/>
      </w:pPr>
      <w:r>
        <w:rPr>
          <w:rFonts w:ascii="Calibri" w:hAnsi="Calibri" w:cs="Arial"/>
          <w:rtl/>
          <w:sz w:val="24"/>
          <w:szCs w:val="24"/>
        </w:rPr>
        <w:t xml:space="preserve">1.1. يُختار المقاولون وفق EMS.SA.PRO.04.01. وEMS.SA.PRO.04.03.؛ وبالنسبة للأعمال عالية الخطورة يُقيَّم أداؤهم في مجال السلامة قبل إصدار أمر الشراء.</w:t>
      </w:r>
    </w:p>
    <w:p>
      <w:pPr>
        <w:pStyle w:val="ListeParagraf"/>
        <w:bidi/>
        <w:spacing w:after="80"/>
        <w:ind w:left="0" w:right="709"/>
        <w:jc w:val="both"/>
      </w:pPr>
      <w:r>
        <w:rPr>
          <w:rFonts w:ascii="Calibri" w:hAnsi="Calibri" w:cs="Arial"/>
          <w:rtl/>
          <w:sz w:val="24"/>
          <w:szCs w:val="24"/>
        </w:rPr>
        <w:t xml:space="preserve">1.2. قبل بدء العمل يقدم المقاول ما يلي:</w:t>
      </w:r>
    </w:p>
    <w:p>
      <w:pPr>
        <w:pStyle w:val="ListeParagraf"/>
        <w:numPr>
          <w:ilvl w:val="0"/>
          <w:numId w:val="1"/>
        </w:numPr>
        <w:bidi/>
        <w:spacing w:after="60"/>
        <w:jc w:val="both"/>
      </w:pPr>
      <w:r>
        <w:rPr>
          <w:rFonts w:ascii="Calibri" w:hAnsi="Calibri" w:cs="Arial"/>
          <w:rtl/>
          <w:sz w:val="24"/>
          <w:szCs w:val="24"/>
        </w:rPr>
        <w:t xml:space="preserve">السجل التجاري للشركة وتأمينًا ساريًا يغطي عماله،</w:t>
      </w:r>
    </w:p>
    <w:p>
      <w:pPr>
        <w:pStyle w:val="ListeParagraf"/>
        <w:numPr>
          <w:ilvl w:val="0"/>
          <w:numId w:val="1"/>
        </w:numPr>
        <w:bidi/>
        <w:spacing w:after="60"/>
        <w:jc w:val="both"/>
      </w:pPr>
      <w:r>
        <w:rPr>
          <w:rFonts w:ascii="Calibri" w:hAnsi="Calibri" w:cs="Arial"/>
          <w:rtl/>
          <w:sz w:val="24"/>
          <w:szCs w:val="24"/>
        </w:rPr>
        <w:t xml:space="preserve">قائمة بالعمال مع وثائق الهوية وإثبات السن (لا يُقبل أي عامل دون 18 عامًا في الأعمال الخطرة)،</w:t>
      </w:r>
    </w:p>
    <w:p>
      <w:pPr>
        <w:pStyle w:val="ListeParagraf"/>
        <w:numPr>
          <w:ilvl w:val="0"/>
          <w:numId w:val="1"/>
        </w:numPr>
        <w:bidi/>
        <w:spacing w:after="60"/>
        <w:jc w:val="both"/>
      </w:pPr>
      <w:r>
        <w:rPr>
          <w:rFonts w:ascii="Calibri" w:hAnsi="Calibri" w:cs="Arial"/>
          <w:rtl/>
          <w:sz w:val="24"/>
          <w:szCs w:val="24"/>
        </w:rPr>
        <w:t xml:space="preserve">شهادات الكفاءة للأعمال المتخصصة (الأعمال الكهربائية واللحام والسقالات وتشغيل الرافعات الشوكية والأوناش)،</w:t>
      </w:r>
    </w:p>
    <w:p>
      <w:pPr>
        <w:pStyle w:val="ListeParagraf"/>
        <w:numPr>
          <w:ilvl w:val="0"/>
          <w:numId w:val="1"/>
        </w:numPr>
        <w:bidi/>
        <w:spacing w:after="60"/>
        <w:jc w:val="both"/>
      </w:pPr>
      <w:r>
        <w:rPr>
          <w:rFonts w:ascii="Calibri" w:hAnsi="Calibri" w:cs="Arial"/>
          <w:rtl/>
          <w:sz w:val="24"/>
          <w:szCs w:val="24"/>
        </w:rPr>
        <w:t xml:space="preserve">بيان طريقة العمل وتقييم مخاطر المهمة للأعمال متوسطة وعالية الخطورة.</w:t>
      </w:r>
    </w:p>
    <w:p>
      <w:pPr>
        <w:pStyle w:val="ListeParagraf"/>
        <w:bidi/>
        <w:spacing w:after="80"/>
        <w:ind w:left="0" w:right="709"/>
        <w:jc w:val="both"/>
      </w:pPr>
      <w:r>
        <w:rPr>
          <w:rFonts w:ascii="Calibri" w:hAnsi="Calibri" w:cs="Arial"/>
          <w:rtl/>
          <w:sz w:val="24"/>
          <w:szCs w:val="24"/>
        </w:rPr>
        <w:t xml:space="preserve">1.3. يتضمن العقد الالتزام بقواعد الصحة والسلامة المهنية في EMS ومدونة قواعد السلوك الخاصة بـ EMS والتشريعات المصرية المعمول بها، بما في ذلك ساعات العمل والأجور وحظر عمل الأطفال والعمل الجبري.</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2. التوجيه التعريفي والدخول</w:t>
      </w:r>
    </w:p>
    <w:p>
      <w:pPr>
        <w:pStyle w:val="ListeParagraf"/>
        <w:bidi/>
        <w:spacing w:after="80"/>
        <w:ind w:left="0" w:right="709"/>
        <w:jc w:val="both"/>
      </w:pPr>
      <w:r>
        <w:rPr>
          <w:rFonts w:ascii="Calibri" w:hAnsi="Calibri" w:cs="Arial"/>
          <w:rtl/>
          <w:sz w:val="24"/>
          <w:szCs w:val="24"/>
        </w:rPr>
        <w:t xml:space="preserve">2.1. يتلقى كل عامل من عمال المقاول التوجيه التعريفي بالسلامة في EMS قبل دخوله الأول، ويشمل: قواعد الموقع، ومخاطر منطقة العمل، ومعدات الحماية الشخصية، وإنذار الطوارئ، ومسارات الإخلاء ونقاط التجمع، وحظر التدخين، والإبلاغ عن الحوادث.</w:t>
      </w:r>
    </w:p>
    <w:p>
      <w:pPr>
        <w:pStyle w:val="ListeParagraf"/>
        <w:bidi/>
        <w:spacing w:after="80"/>
        <w:ind w:left="0" w:right="709"/>
        <w:jc w:val="both"/>
      </w:pPr>
      <w:r>
        <w:rPr>
          <w:rFonts w:ascii="Calibri" w:hAnsi="Calibri" w:cs="Arial"/>
          <w:rtl/>
          <w:sz w:val="24"/>
          <w:szCs w:val="24"/>
        </w:rPr>
        <w:t xml:space="preserve">2.2. يُسجَّل التوجيه بتوقيع العامل وتُصدر له بطاقة دخول؛ ويتحقق الأمن من البطاقة عند كل دخول.</w:t>
      </w:r>
    </w:p>
    <w:p>
      <w:pPr>
        <w:pStyle w:val="ListeParagraf"/>
        <w:bidi/>
        <w:spacing w:after="80"/>
        <w:ind w:left="0" w:right="709"/>
        <w:jc w:val="both"/>
      </w:pPr>
      <w:r>
        <w:rPr>
          <w:rFonts w:ascii="Calibri" w:hAnsi="Calibri" w:cs="Arial"/>
          <w:rtl/>
          <w:sz w:val="24"/>
          <w:szCs w:val="24"/>
        </w:rPr>
        <w:t xml:space="preserve">2.3. يرتدي عمال المقاول معدات الحماية الشخصية المعتمدة الخاصة بهم؛ وإذا لم تتوفر لديهم توفرها EMS.</w:t>
      </w:r>
    </w:p>
    <w:p>
      <w:pPr>
        <w:pStyle w:val="ListeParagraf"/>
        <w:bidi/>
        <w:spacing w:after="80"/>
        <w:ind w:left="0" w:right="709"/>
        <w:jc w:val="both"/>
      </w:pPr>
      <w:r>
        <w:rPr>
          <w:rFonts w:ascii="Calibri" w:hAnsi="Calibri" w:cs="Arial"/>
          <w:rtl/>
          <w:sz w:val="24"/>
          <w:szCs w:val="24"/>
        </w:rPr>
        <w:t xml:space="preserve">2.4. تُفحص الأدوات والمعدات الكهربائية والسلالم ومعدات الرفع التي تُدخل إلى الموقع من قبل أخصائي السلامة أو الصيانة قبل استخدامها؛ ولا يُسمح بإدخال المعدات المعيبة.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3. التحكم في العمل داخل الموقع</w:t>
      </w:r>
    </w:p>
    <w:p>
      <w:pPr>
        <w:pStyle w:val="ListeParagraf"/>
        <w:bidi/>
        <w:spacing w:after="80"/>
        <w:ind w:left="0" w:right="709"/>
        <w:jc w:val="both"/>
      </w:pPr>
      <w:r>
        <w:rPr>
          <w:rFonts w:ascii="Calibri" w:hAnsi="Calibri" w:cs="Arial"/>
          <w:rtl/>
          <w:sz w:val="24"/>
          <w:szCs w:val="24"/>
        </w:rPr>
        <w:t xml:space="preserve">3.1. لا تبدأ الأعمال عالية الخطورة (الأعمال الساخنة والعمل على ارتفاع ودخول الأماكن المحصورة والأعمال الكهربائية) إلا بتصريح وفق EMS.İS.PRO.18.04.، ويتم عزل الطاقة وفق EMS.İS.PRO.18.05.</w:t>
      </w:r>
    </w:p>
    <w:p>
      <w:pPr>
        <w:pStyle w:val="ListeParagraf"/>
        <w:bidi/>
        <w:spacing w:after="80"/>
        <w:ind w:left="0" w:right="709"/>
        <w:jc w:val="both"/>
      </w:pPr>
      <w:r>
        <w:rPr>
          <w:rFonts w:ascii="Calibri" w:hAnsi="Calibri" w:cs="Arial"/>
          <w:rtl/>
          <w:sz w:val="24"/>
          <w:szCs w:val="24"/>
        </w:rPr>
        <w:t xml:space="preserve">3.2. يفتش مالك العقد وأخصائي السلامة أعمال المقاول يوميًا على الأقل للأعمال عالية الخطورة وأسبوعيًا للأعمال الأخرى، ويسجلان ملاحظاتهما.</w:t>
      </w:r>
    </w:p>
    <w:p>
      <w:pPr>
        <w:pStyle w:val="ListeParagraf"/>
        <w:bidi/>
        <w:spacing w:after="80"/>
        <w:ind w:left="0" w:right="709"/>
        <w:jc w:val="both"/>
      </w:pPr>
      <w:r>
        <w:rPr>
          <w:rFonts w:ascii="Calibri" w:hAnsi="Calibri" w:cs="Arial"/>
          <w:rtl/>
          <w:sz w:val="24"/>
          <w:szCs w:val="24"/>
        </w:rPr>
        <w:t xml:space="preserve">3.3. يُوقف فورًا أي تصرف أو وضع غير آمن، ولا يُستأنف العمل إلا بعد تصحيحه. وقد تؤدي المخالفات الجسيمة أو المتكررة إلى إبعاد العامل عن الموقع أو إنهاء العقد.</w:t>
      </w:r>
    </w:p>
    <w:p>
      <w:pPr>
        <w:pStyle w:val="ListeParagraf"/>
        <w:bidi/>
        <w:spacing w:after="80"/>
        <w:ind w:left="0" w:right="709"/>
        <w:jc w:val="both"/>
      </w:pPr>
      <w:r>
        <w:rPr>
          <w:rFonts w:ascii="Calibri" w:hAnsi="Calibri" w:cs="Arial"/>
          <w:rtl/>
          <w:sz w:val="24"/>
          <w:szCs w:val="24"/>
        </w:rPr>
        <w:t xml:space="preserve">3.4. يُبلَّغ أخصائي السلامة فورًا عن حوادث المقاولين والحوادث الوشيكة، ويُحقق فيها بالطريقة نفسها المتبعة في حوادث EMS.</w:t>
      </w:r>
    </w:p>
    <w:p>
      <w:pPr>
        <w:pStyle w:val="ListeParagraf"/>
        <w:bidi/>
        <w:spacing w:after="80"/>
        <w:ind w:left="0" w:right="709"/>
        <w:jc w:val="both"/>
      </w:pPr>
      <w:r>
        <w:rPr>
          <w:rFonts w:ascii="Calibri" w:hAnsi="Calibri" w:cs="Arial"/>
          <w:rtl/>
          <w:sz w:val="24"/>
          <w:szCs w:val="24"/>
        </w:rPr>
        <w:t xml:space="preserve">3.5. يحافظ المقاولون على نظافة منطقة عملهم، ويخزنون المواد بأمان، ويزيلون نفاياتهم وفق قواعد إدارة النفايات في EMS؛ ولا يجوز إدخال الكيماويات إلى الموقع إلا بموافقة مسبقة ومع صحيفة بيانات السلامة.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4. إنجاز العمل والتقييم</w:t>
      </w:r>
    </w:p>
    <w:p>
      <w:pPr>
        <w:pStyle w:val="ListeParagraf"/>
        <w:bidi/>
        <w:spacing w:after="80"/>
        <w:ind w:left="0" w:right="709"/>
        <w:jc w:val="both"/>
      </w:pPr>
      <w:r>
        <w:rPr>
          <w:rFonts w:ascii="Calibri" w:hAnsi="Calibri" w:cs="Arial"/>
          <w:rtl/>
          <w:sz w:val="24"/>
          <w:szCs w:val="24"/>
        </w:rPr>
        <w:t xml:space="preserve">4.1. عند انتهاء العمل يفحص مالك العقد المنطقة بحضور المقاول، ويتأكد من إغلاق التصاريح وإعادة الواقيات وأجهزة السلامة، ويوقع على نموذج الإنجاز.</w:t>
      </w:r>
    </w:p>
    <w:p>
      <w:pPr>
        <w:pStyle w:val="ListeParagraf"/>
        <w:bidi/>
        <w:spacing w:after="80"/>
        <w:ind w:left="0" w:right="709"/>
        <w:jc w:val="both"/>
      </w:pPr>
      <w:r>
        <w:rPr>
          <w:rFonts w:ascii="Calibri" w:hAnsi="Calibri" w:cs="Arial"/>
          <w:rtl/>
          <w:sz w:val="24"/>
          <w:szCs w:val="24"/>
        </w:rPr>
        <w:t xml:space="preserve">4.2. يُقيَّم أداء المقاول في مجال الصحة والسلامة المهنية (الحوادث والمخالفات والوثائق والنظافة والترتيب)، ويُؤخذ في الاعتبار في تقييم الموردين وفق EMS.SA.PRO.04.03.</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5. المتابعة والأداء</w:t>
      </w:r>
    </w:p>
    <w:p>
      <w:pPr>
        <w:pStyle w:val="ListeParagraf"/>
        <w:bidi/>
        <w:spacing w:after="80"/>
        <w:ind w:left="0" w:right="709"/>
        <w:jc w:val="both"/>
      </w:pPr>
      <w:r>
        <w:rPr>
          <w:rFonts w:ascii="Calibri" w:hAnsi="Calibri" w:cs="Arial"/>
          <w:rtl/>
          <w:sz w:val="24"/>
          <w:szCs w:val="24"/>
        </w:rPr>
        <w:t xml:space="preserve">5.1. يرفع أخصائي السلامة إلى لجنة الصحة والسلامة المهنية شهريًا ما يلي:</w:t>
      </w:r>
    </w:p>
    <w:p>
      <w:pPr>
        <w:pStyle w:val="ListeParagraf"/>
        <w:numPr>
          <w:ilvl w:val="0"/>
          <w:numId w:val="1"/>
        </w:numPr>
        <w:bidi/>
        <w:spacing w:after="60"/>
        <w:jc w:val="both"/>
      </w:pPr>
      <w:r>
        <w:rPr>
          <w:rFonts w:ascii="Calibri" w:hAnsi="Calibri" w:cs="Arial"/>
          <w:rtl/>
          <w:sz w:val="24"/>
          <w:szCs w:val="24"/>
        </w:rPr>
        <w:t xml:space="preserve">عدد عمال المقاولين في الموقع ونسبة من تلقوا التوجيه التعريفي – الهدف 100%،</w:t>
      </w:r>
    </w:p>
    <w:p>
      <w:pPr>
        <w:pStyle w:val="ListeParagraf"/>
        <w:numPr>
          <w:ilvl w:val="0"/>
          <w:numId w:val="1"/>
        </w:numPr>
        <w:bidi/>
        <w:spacing w:after="60"/>
        <w:jc w:val="both"/>
      </w:pPr>
      <w:r>
        <w:rPr>
          <w:rFonts w:ascii="Calibri" w:hAnsi="Calibri" w:cs="Arial"/>
          <w:rtl/>
          <w:sz w:val="24"/>
          <w:szCs w:val="24"/>
        </w:rPr>
        <w:t xml:space="preserve">عدد عمليات تفتيش أعمال المقاولين والمخالفات المكتشفة،</w:t>
      </w:r>
    </w:p>
    <w:p>
      <w:pPr>
        <w:pStyle w:val="ListeParagraf"/>
        <w:numPr>
          <w:ilvl w:val="0"/>
          <w:numId w:val="1"/>
        </w:numPr>
        <w:bidi/>
        <w:spacing w:after="60"/>
        <w:jc w:val="both"/>
      </w:pPr>
      <w:r>
        <w:rPr>
          <w:rFonts w:ascii="Calibri" w:hAnsi="Calibri" w:cs="Arial"/>
          <w:rtl/>
          <w:sz w:val="24"/>
          <w:szCs w:val="24"/>
        </w:rPr>
        <w:t xml:space="preserve">عدد حوادث المقاولين والحوادث الوشيكة.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6. الوثائق والسجلات ذات الصلة</w:t>
      </w:r>
    </w:p>
    <w:p>
      <w:pPr>
        <w:pStyle w:val="ListeParagraf"/>
        <w:numPr>
          <w:ilvl w:val="0"/>
          <w:numId w:val="1"/>
        </w:numPr>
        <w:bidi/>
        <w:spacing w:after="60"/>
        <w:jc w:val="both"/>
      </w:pPr>
      <w:r>
        <w:rPr>
          <w:rFonts w:ascii="Calibri" w:hAnsi="Calibri" w:cs="Arial"/>
          <w:rtl/>
          <w:sz w:val="24"/>
          <w:szCs w:val="24"/>
        </w:rPr>
        <w:t xml:space="preserve">قائمة المقاولين المعتمدين وقائمة فحص وثائق السلامة الخاصة بالمقاول</w:t>
      </w:r>
    </w:p>
    <w:p>
      <w:pPr>
        <w:pStyle w:val="ListeParagraf"/>
        <w:numPr>
          <w:ilvl w:val="0"/>
          <w:numId w:val="1"/>
        </w:numPr>
        <w:bidi/>
        <w:spacing w:after="60"/>
        <w:jc w:val="both"/>
      </w:pPr>
      <w:r>
        <w:rPr>
          <w:rFonts w:ascii="Calibri" w:hAnsi="Calibri" w:cs="Arial"/>
          <w:rtl/>
          <w:sz w:val="24"/>
          <w:szCs w:val="24"/>
        </w:rPr>
        <w:t xml:space="preserve">سجلات التوجيه التعريفي للمقاولين وبطاقات الدخول</w:t>
      </w:r>
    </w:p>
    <w:p>
      <w:pPr>
        <w:pStyle w:val="ListeParagraf"/>
        <w:numPr>
          <w:ilvl w:val="0"/>
          <w:numId w:val="1"/>
        </w:numPr>
        <w:bidi/>
        <w:spacing w:after="60"/>
        <w:jc w:val="both"/>
      </w:pPr>
      <w:r>
        <w:rPr>
          <w:rFonts w:ascii="Calibri" w:hAnsi="Calibri" w:cs="Arial"/>
          <w:rtl/>
          <w:sz w:val="24"/>
          <w:szCs w:val="24"/>
        </w:rPr>
        <w:t xml:space="preserve">بيانات طريقة العمل وتقييمات مخاطر المهام</w:t>
      </w:r>
    </w:p>
    <w:p>
      <w:pPr>
        <w:pStyle w:val="ListeParagraf"/>
        <w:numPr>
          <w:ilvl w:val="0"/>
          <w:numId w:val="1"/>
        </w:numPr>
        <w:bidi/>
        <w:spacing w:after="60"/>
        <w:jc w:val="both"/>
      </w:pPr>
      <w:r>
        <w:rPr>
          <w:rFonts w:ascii="Calibri" w:hAnsi="Calibri" w:cs="Arial"/>
          <w:rtl/>
          <w:sz w:val="24"/>
          <w:szCs w:val="24"/>
        </w:rPr>
        <w:t xml:space="preserve">نماذج تفتيش أعمال المقاولين وإنجازها</w:t>
      </w:r>
    </w:p>
    <w:p>
      <w:pPr>
        <w:pStyle w:val="ListeParagraf"/>
        <w:numPr>
          <w:ilvl w:val="0"/>
          <w:numId w:val="1"/>
        </w:numPr>
        <w:bidi/>
        <w:spacing w:after="60"/>
        <w:jc w:val="both"/>
      </w:pPr>
      <w:r>
        <w:rPr>
          <w:rFonts w:ascii="Calibri" w:hAnsi="Calibri" w:cs="Arial"/>
          <w:rtl/>
          <w:sz w:val="24"/>
          <w:szCs w:val="24"/>
        </w:rPr>
        <w:t xml:space="preserve">EMS.SA.PRO.04.01. إجراء اختيار المقاولين (الموردين)</w:t>
      </w:r>
    </w:p>
    <w:p>
      <w:pPr>
        <w:pStyle w:val="ListeParagraf"/>
        <w:numPr>
          <w:ilvl w:val="0"/>
          <w:numId w:val="1"/>
        </w:numPr>
        <w:bidi/>
        <w:spacing w:after="60"/>
        <w:jc w:val="both"/>
      </w:pPr>
      <w:r>
        <w:rPr>
          <w:rFonts w:ascii="Calibri" w:hAnsi="Calibri" w:cs="Arial"/>
          <w:rtl/>
          <w:sz w:val="24"/>
          <w:szCs w:val="24"/>
        </w:rPr>
        <w:t xml:space="preserve">EMS.SA.PRO.04.03. إجراء تقييم الموردين والمقاولين من الباطن</w:t>
      </w:r>
    </w:p>
    <w:p>
      <w:pPr>
        <w:pStyle w:val="ListeParagraf"/>
        <w:numPr>
          <w:ilvl w:val="0"/>
          <w:numId w:val="1"/>
        </w:numPr>
        <w:bidi/>
        <w:spacing w:after="60"/>
        <w:jc w:val="both"/>
      </w:pPr>
      <w:r>
        <w:rPr>
          <w:rFonts w:ascii="Calibri" w:hAnsi="Calibri" w:cs="Arial"/>
          <w:rtl/>
          <w:sz w:val="24"/>
          <w:szCs w:val="24"/>
        </w:rPr>
        <w:t xml:space="preserve">EMS.İD.PRO.03.02. إجراء دخول وخروج مركبات الزوار والمقاولين من الباطن</w:t>
      </w:r>
    </w:p>
    <w:p>
      <w:pPr>
        <w:pStyle w:val="ListeParagraf"/>
        <w:numPr>
          <w:ilvl w:val="0"/>
          <w:numId w:val="1"/>
        </w:numPr>
        <w:bidi/>
        <w:spacing w:after="60"/>
        <w:jc w:val="both"/>
      </w:pPr>
      <w:r>
        <w:rPr>
          <w:rFonts w:ascii="Calibri" w:hAnsi="Calibri" w:cs="Arial"/>
          <w:rtl/>
          <w:sz w:val="24"/>
          <w:szCs w:val="24"/>
        </w:rPr>
        <w:t xml:space="preserve">EMS.İS.PRO.18.04. إجراء تصاريح العمل (الأعمال الساخنة، العمل على ارتفاع، الأماكن المحصورة)</w:t>
      </w:r>
    </w:p>
    <w:p>
      <w:pPr>
        <w:pStyle w:val="ListeParagraf"/>
        <w:numPr>
          <w:ilvl w:val="0"/>
          <w:numId w:val="1"/>
        </w:numPr>
        <w:bidi/>
        <w:spacing w:after="60"/>
        <w:jc w:val="both"/>
      </w:pPr>
      <w:r>
        <w:rPr>
          <w:rFonts w:ascii="Calibri" w:hAnsi="Calibri" w:cs="Arial"/>
          <w:rtl/>
          <w:sz w:val="24"/>
          <w:szCs w:val="24"/>
        </w:rPr>
        <w:t xml:space="preserve">EMS.İS.PRO.18.05. إجراء العزل والإقفال والتوسيم (LOTO)</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7. التغذية الراجعة والمتابعة</w:t>
      </w:r>
    </w:p>
    <w:p>
      <w:pPr>
        <w:pStyle w:val="ListeParagraf"/>
        <w:bidi/>
        <w:spacing w:after="80"/>
        <w:ind w:left="0" w:right="709"/>
        <w:jc w:val="both"/>
      </w:pPr>
      <w:r>
        <w:rPr>
          <w:rFonts w:ascii="Calibri" w:hAnsi="Calibri" w:cs="Arial"/>
          <w:rtl/>
          <w:sz w:val="24"/>
          <w:szCs w:val="24"/>
        </w:rPr>
        <w:t xml:space="preserve">يُراجع هذا الإجراء سنويًا من قبل مدير السلامة والصحة المهنية، وكذلك بعد أي حادث يتعلق بالمقاولين. وتُقيَّم الملاحظات الواردة من مالكي العقود والمقاولين ولجنة الصحة والسلامة المهنية، ويُعدل الإجراء عند الحاجة.</w:t>
      </w:r>
    </w:p>
    <w:p/>
    <w:p w14:paraId="09C717F6" w14:textId="77777777" w:rsidR="00492105" w:rsidRDefault="00492105" w:rsidP="00E34A01">
      <w:pPr>
        <w:pStyle w:val="ListeParagraf"/>
        <w:keepNext/>
        <w:ind w:left="709"/>
        <w:rPr>
          <w:rFonts w:ascii="Calibri" w:hAnsi="Calibri" w:cs="Calibri"/>
          <w:sz w:val="24"/>
          <w:szCs w:val="24"/>
        </w:rPr>
      </w:pPr>
    </w:p>
    <w:p w14:paraId="398C0755" w14:textId="3C545F43" w:rsidR="00492105" w:rsidRPr="00492105" w:rsidRDefault="00492105" w:rsidP="00E34A01">
      <w:pPr>
        <w:pStyle w:val="ListeParagraf"/>
        <w:keepNext/>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cantSplit/>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keepNext/>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cantSplit/>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keepNext/>
              <w:spacing w:after="0" w:line="240" w:lineRule="auto"/>
              <w:rPr>
                <w:rFonts w:ascii="Calibri" w:eastAsia="Times New Roman" w:hAnsi="Calibri" w:cs="Calibri"/>
                <w:color w:val="000000"/>
                <w:sz w:val="18"/>
                <w:szCs w:val="18"/>
                <w:lang w:eastAsia="en-GB"/>
              </w:rPr>
            </w:pP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keepNext/>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BAYDOĞAN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keepNext/>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keepNext/>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keepNext/>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cantSplit/>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1A7537CF"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r>
              <w:drawing>
                <wp:inline distT="0" distB="0" distL="0" distR="0">
                  <wp:extent cx="659218" cy="566928"/>
                  <wp:effectExtent l="0" t="0" r="0" b="0"/>
                  <wp:docPr id="900102" name="Imza Ali Kaan Ge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2" name="Imza Ali Kaan Genc"/>
                          <pic:cNvPicPr/>
                        </pic:nvPicPr>
                        <pic:blipFill>
                          <a:blip r:embed="sigAliKaan"/>
                          <a:stretch>
                            <a:fillRect/>
                          </a:stretch>
                        </pic:blipFill>
                        <pic:spPr>
                          <a:xfrm>
                            <a:off x="0" y="0"/>
                            <a:ext cx="659218" cy="566928"/>
                          </a:xfrm>
                          <a:prstGeom prst="rect">
                            <a:avLst/>
                          </a:prstGeom>
                        </pic:spPr>
                      </pic:pic>
                    </a:graphicData>
                  </a:graphic>
                </wp:inline>
              </w:drawing>
            </w:r>
          </w:p>
        </w:tc>
        <w:tc>
          <w:tcPr>
            <w:tcW w:w="240" w:type="dxa"/>
            <w:tcBorders>
              <w:top w:val="nil"/>
              <w:left w:val="nil"/>
              <w:bottom w:val="nil"/>
              <w:right w:val="nil"/>
            </w:tcBorders>
            <w:noWrap/>
            <w:vAlign w:val="bottom"/>
          </w:tcPr>
          <w:p w14:paraId="1DEAD2D9" w14:textId="5A968D6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4A78FB8" w14:textId="33A29CBB" w:rsidR="00492105" w:rsidRPr="00892FF4" w:rsidRDefault="00492105" w:rsidP="00CC5D8D">
            <w:pPr>
              <w:keepNext/>
              <w:spacing w:after="0" w:line="240" w:lineRule="auto"/>
              <w:jc w:val="center"/>
              <w:rPr>
                <w:rFonts w:ascii="Calibri" w:eastAsia="Times New Roman" w:hAnsi="Calibri" w:cs="Calibri"/>
                <w:color w:val="000000"/>
                <w:lang w:val="en-GB" w:eastAsia="en-GB"/>
              </w:rPr>
            </w:pPr>
            <w:r>
              <w:drawing>
                <wp:inline distT="0" distB="0" distL="0" distR="0">
                  <wp:extent cx="850392" cy="566928"/>
                  <wp:effectExtent l="0" t="0" r="0" b="0"/>
                  <wp:docPr id="900104" name="Imza Abdullah Baydo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4" name="Imza Abdullah Baydogan"/>
                          <pic:cNvPicPr/>
                        </pic:nvPicPr>
                        <pic:blipFill>
                          <a:blip r:embed="rId9"/>
                          <a:stretch>
                            <a:fillRect/>
                          </a:stretch>
                        </pic:blipFill>
                        <pic:spPr>
                          <a:xfrm>
                            <a:off x="0" y="0"/>
                            <a:ext cx="850392" cy="566928"/>
                          </a:xfrm>
                          <a:prstGeom prst="rect">
                            <a:avLst/>
                          </a:prstGeom>
                        </pic:spPr>
                      </pic:pic>
                    </a:graphicData>
                  </a:graphic>
                </wp:inline>
              </w:drawing>
            </w:r>
          </w:p>
        </w:tc>
        <w:tc>
          <w:tcPr>
            <w:tcW w:w="240" w:type="dxa"/>
            <w:tcBorders>
              <w:top w:val="nil"/>
              <w:left w:val="nil"/>
              <w:bottom w:val="nil"/>
              <w:right w:val="nil"/>
            </w:tcBorders>
            <w:noWrap/>
            <w:vAlign w:val="bottom"/>
          </w:tcPr>
          <w:p w14:paraId="3B416B39"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7BB3A54"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r>
              <w:drawing>
                <wp:inline distT="0" distB="0" distL="0" distR="0">
                  <wp:extent cx="944879" cy="566928"/>
                  <wp:effectExtent l="0" t="0" r="0" b="0"/>
                  <wp:docPr id="900106" name="Imza Fatih Sal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6" name="Imza Fatih Salbars"/>
                          <pic:cNvPicPr/>
                        </pic:nvPicPr>
                        <pic:blipFill>
                          <a:blip r:embed="sigFatih"/>
                          <a:stretch>
                            <a:fillRect/>
                          </a:stretch>
                        </pic:blipFill>
                        <pic:spPr>
                          <a:xfrm>
                            <a:off x="0" y="0"/>
                            <a:ext cx="944879" cy="566928"/>
                          </a:xfrm>
                          <a:prstGeom prst="rect">
                            <a:avLst/>
                          </a:prstGeom>
                        </pic:spPr>
                      </pic:pic>
                    </a:graphicData>
                  </a:graphic>
                </wp:inline>
              </w:drawing>
            </w:r>
          </w:p>
        </w:tc>
      </w:tr>
      <w:tr w:rsidR="00492105" w:rsidRPr="00892FF4" w14:paraId="2F4E587E" w14:textId="77777777" w:rsidTr="00CC5D8D">
        <w:trPr>
          <w:cantSplit/>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cantSplit/>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r>
    </w:tbl>
    <w:p>
      <w:pPr>
        <w:spacing w:before="0" w:after="0" w:line="20" w:lineRule="exact"/>
        <w:rPr>
          <w:vanish/>
          <w:sz w:val="2"/>
          <w:szCs w:val="2"/>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CONTRACTOR OHS MANAGEMENT PROCEDURE</w:t>
          </w:r>
        </w:p>
        <w:p>
          <w:pPr>
            <w:pStyle w:val="GvdeMetni2"/>
            <w:bidi/>
            <w:spacing w:line="276" w:lineRule="auto"/>
            <w:jc w:val="center"/>
          </w:pPr>
          <w:r>
            <w:rPr>
              <w:rFonts w:asciiTheme="minorHAnsi" w:hAnsiTheme="minorHAnsi" w:cs="Arial"/>
              <w:b/>
              <w:bCs/>
              <w:color w:val="000000" w:themeColor="text1"/>
              <w:sz w:val="22"/>
              <w:szCs w:val="22"/>
              <w:rtl/>
            </w:rPr>
            <w:t>إجراء إدارة الصحة والسلامة المهنية للمقاولين</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EMS.İS.PRO.18.06.</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0</w:t>
          </w:r>
          <w:r w:rsidR="00EA160E">
            <w:rPr>
              <w:rFonts w:cstheme="minorHAnsi"/>
              <w:sz w:val="16"/>
              <w:szCs w:val="16"/>
            </w:rPr>
            <w:t>2.10.2026</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0</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 / … / …</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sigAliKaan" Type="http://schemas.openxmlformats.org/officeDocument/2006/relationships/image" Target="media/sig_ali_kaan.png"/><Relationship Id="sigFatih" Type="http://schemas.openxmlformats.org/officeDocument/2006/relationships/image" Target="media/sig_fatih.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EMS.İS.PRO.18.06. CONTRACTOR OHS MANAGEMENT PROCEDURE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