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PURPOSE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describes how the final AQL inspection of packed goods is carried out at EMS before shipment, according to AQL ISO 2859-1 and customer requirements.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SCOPE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applies to all orders that are at least 80% packed and ready for shipment, inspected by EMS final inspectors before any customer or third-party inspection.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RESPONSIBILITIES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Final Inspector:</w:t>
      </w:r>
      <w:r>
        <w:rPr>
          <w:rFonts w:ascii="Calibri" w:hAnsi="Calibri" w:cs="Arial"/>
          <w:sz w:val="24"/>
          <w:szCs w:val="24"/>
        </w:rPr>
        <w:t xml:space="preserve"> Draws the sample, inspects it and fills in the final inspection report.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Quality Manager:</w:t>
      </w:r>
      <w:r>
        <w:rPr>
          <w:rFonts w:ascii="Calibri" w:hAnsi="Calibri" w:cs="Arial"/>
          <w:sz w:val="24"/>
          <w:szCs w:val="24"/>
        </w:rPr>
        <w:t xml:space="preserve"> Approves the result and decides on release, rework or re-inspection.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Packing Supervisor:</w:t>
      </w:r>
      <w:r>
        <w:rPr>
          <w:rFonts w:ascii="Calibri" w:hAnsi="Calibri" w:cs="Arial"/>
          <w:sz w:val="24"/>
          <w:szCs w:val="24"/>
        </w:rPr>
        <w:t xml:space="preserve"> Prepares the cartons and corrects rejected lots.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INSTRUCTIONS</w:t>
      </w: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1. BEFORE STARTING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1.1. Have the sealed sample, measurement chart, packing list and customer AQL level ready (commonly General Inspection Level II, AQL 2.5 for major and 4.0 for minor defects; zero tolerance for critical defects).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1.2. Find the sample size and accept/reject numbers from the ISO 2859-1 table according to the lot quantity.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1.3. Select cartons at random from the whole lot (at least the square root of the total number of cartons).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2. INSPECTION STEPS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2.1. Check the cartons: marks, dimensions, weight, condition and quantity against the packing list.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2.2. Check the packing: size and colour assortment, folding, polybags, hangtags, barcodes and labels.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2.3. Inspect each sample piece for appearance, workmanship, colour and fabric against the sealed sample.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2.4. Measure the pieces required by the customer and check the metal detection record.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2.5. Classify each defect as critical, major or minor and write it on the final inspection report.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2.6. Compare the defect totals with the accept/reject numbers and give the result: PASS or FAIL.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3. RULES / PROHIBITIONS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let production or packing staff choose the cartons to be inspected.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pass a lot with any critical defect (needle, sharp object, safety or labelling defect).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ship a lot without a PASS report signed by the Quality Manager.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4. IN CASE OF FAILURE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4.1. A failed lot is labelled "HOLD", 100% sorted and reworked, and then re-inspected with a new sample.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5. RELATED DOCUMENTS AND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Final AQL Inspection Report and Packing List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EMS.QA.PRO.02.09. Quality Inspection Procedure (Incoming, In-Line, Final AQL)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EMS.QA.PRO.02.05. Metal Detector Procedure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6. FEEDBACK AND MONITORING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The Quality Manager reviews the final inspection pass rate monthly and this instruction every year, and revises it when necessary.</w:t>
      </w:r>
    </w:p>
    <w:p>
      <w:pPr>
        <w:pStyle w:val="ListeParagraf"/>
        <w:pageBreakBefore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الغرض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تصف هذه التعليمات كيفية تنفيذ الفحص النهائي AQL للبضائع المعبأة في EMS قبل الشحن، وفقًا لمعيار AQL ISO 2859-1 ومتطلبات العميل.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النطاق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تُطبق هذه التعليمات على جميع الطلبيات المعبأة بنسبة 80% على الأقل والجاهزة للشحن، والتي يفحصها مفتشو الفحص النهائي في EMS قبل أي فحص من العميل أو طرف ثالث.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المسؤوليات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مفتش الفحص النهائي:</w:t>
      </w:r>
      <w:r>
        <w:rPr>
          <w:rFonts w:ascii="Calibri" w:hAnsi="Calibri" w:cs="Arial"/>
          <w:rtl/>
          <w:sz w:val="24"/>
          <w:szCs w:val="24"/>
        </w:rPr>
        <w:t xml:space="preserve"> يسحب العينة ويفحصها ويملأ تقرير الفحص النهائي.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مدير الجودة:</w:t>
      </w:r>
      <w:r>
        <w:rPr>
          <w:rFonts w:ascii="Calibri" w:hAnsi="Calibri" w:cs="Arial"/>
          <w:rtl/>
          <w:sz w:val="24"/>
          <w:szCs w:val="24"/>
        </w:rPr>
        <w:t xml:space="preserve"> يعتمد النتيجة ويقرر الإفراج أو إعادة التشغيل أو إعادة الفحص.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مشرف التعبئة:</w:t>
      </w:r>
      <w:r>
        <w:rPr>
          <w:rFonts w:ascii="Calibri" w:hAnsi="Calibri" w:cs="Arial"/>
          <w:rtl/>
          <w:sz w:val="24"/>
          <w:szCs w:val="24"/>
        </w:rPr>
        <w:t xml:space="preserve"> يجهز الكراتين ويصحح الدفعات المرفوضة.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التعليمات</w:t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1. قبل البدء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1.1. جهّز العينة المختومة وجدول المقاسات وقائمة التعبئة ومستوى AQL الخاص بالعميل (عادة مستوى الفحص العام II، وAQL 2.5 للعيوب الرئيسية و4.0 للعيوب الثانوية، وعدم السماح مطلقًا بالعيوب الحرجة).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1.2. حدد حجم العينة وأرقام القبول والرفض من جدول ISO 2859-1 حسب كمية الدفعة.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1.3. اختر الكراتين عشوائيًا من الدفعة كاملة (على الأقل الجذر التربيعي لإجمالي عدد الكراتين).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2. خطوات الفحص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2.1. افحص الكراتين: العلامات والأبعاد والوزن والحالة والكمية مقارنة بقائمة التعبئة.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2.2. افحص التعبئة: توزيع المقاسات والألوان والطي والأكياس البلاستيكية والبطاقات المعلقة والباركود والملصقات.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2.3. افحص كل قطعة في العينة من حيث المظهر وجودة التصنيع واللون والقماش مقارنة بالعينة المختومة.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2.4. قِس القطع التي يطلبها العميل وتحقق من سجل كشف المعادن.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2.5. صنّف كل عيب إلى حرج أو رئيسي أو ثانوي وسجله في تقرير الفحص النهائي.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2.6. قارن مجموع العيوب بأرقام القبول والرفض وأعطِ النتيجة: ناجح أو راسب.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3. القواعد / المحظورات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تسمح لعمال الإنتاج أو التعبئة باختيار الكراتين التي ستُفحص.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تُجِز أي دفعة بها عيب حرج (إبرة أو جسم حاد أو عيب في السلامة أو الملصقات).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تشحن أي دفعة دون تقرير «ناجح» موقع من مدير الجودة.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4. في حالة الرسوب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4.1. توسم الدفعة الراسبة بملصق «معلّق»، وتُفرز وتُعاد معالجتها بنسبة 100%، ثم يُعاد فحصها بعينة جديدة.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5. الوثائق والسجلات ذات الصلة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تقرير الفحص النهائي AQL وقائمة التعبئة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EMS.QA.PRO.02.09. إجراء فحص الجودة (الوارد، أثناء الإنتاج، النهائي AQL)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EMS.QA.PRO.02.05. إجراء جهاز كشف المعادن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6. التغذية الراجعة والمتابعة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يراجع مدير الجودة نسبة نجاح الفحص النهائي شهريًا وهذه التعليمات سنويًا، ويعدلها عند الحاجة.</w:t>
      </w:r>
    </w:p>
    <w:p/>
    <w:p w14:paraId="09C717F6" w14:textId="77777777" w:rsidR="00492105" w:rsidRDefault="00492105" w:rsidP="00E34A01">
      <w:pPr>
        <w:pStyle w:val="ListeParagraf"/>
        <w:keepNext/>
        <w:ind w:left="709"/>
        <w:rPr>
          <w:rFonts w:ascii="Calibri" w:hAnsi="Calibri" w:cs="Calibri"/>
          <w:sz w:val="24"/>
          <w:szCs w:val="24"/>
        </w:rPr>
      </w:pPr>
    </w:p>
    <w:p w14:paraId="398C0755" w14:textId="3C545F43" w:rsidR="00492105" w:rsidRPr="00492105" w:rsidRDefault="00492105" w:rsidP="00E34A01">
      <w:pPr>
        <w:pStyle w:val="ListeParagraf"/>
        <w:keepNext/>
        <w:ind w:left="709"/>
        <w:rPr>
          <w:rFonts w:ascii="Calibri" w:hAnsi="Calibri" w:cs="Calibri"/>
          <w:b/>
          <w:bCs/>
          <w:sz w:val="24"/>
          <w:szCs w:val="24"/>
        </w:rPr>
      </w:pPr>
      <w:r w:rsidRPr="00492105">
        <w:rPr>
          <w:rFonts w:ascii="Calibri" w:hAnsi="Calibri" w:cs="Calibri"/>
          <w:b/>
          <w:bCs/>
          <w:sz w:val="24"/>
          <w:szCs w:val="24"/>
        </w:rPr>
        <w:t>ONAYLAYANLAR:</w:t>
      </w:r>
    </w:p>
    <w:tbl>
      <w:tblPr>
        <w:tblW w:w="10080" w:type="dxa"/>
        <w:tblInd w:w="629" w:type="dxa"/>
        <w:tblLook w:val="04A0" w:firstRow="1" w:lastRow="0" w:firstColumn="1" w:lastColumn="0" w:noHBand="0" w:noVBand="1"/>
      </w:tblPr>
      <w:tblGrid>
        <w:gridCol w:w="2340"/>
        <w:gridCol w:w="240"/>
        <w:gridCol w:w="2340"/>
        <w:gridCol w:w="240"/>
        <w:gridCol w:w="2340"/>
        <w:gridCol w:w="240"/>
        <w:gridCol w:w="2340"/>
      </w:tblGrid>
      <w:tr w:rsidR="00492105" w:rsidRPr="00892FF4" w14:paraId="54FA6C08" w14:textId="77777777" w:rsidTr="00CC5D8D">
        <w:trPr>
          <w:cantSplit/>
          <w:trHeight w:val="291"/>
        </w:trPr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17A91A" w14:textId="77777777" w:rsidR="00492105" w:rsidRPr="000C2D4C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"/>
                <w:szCs w:val="2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F122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2843E0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0BCD2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1892F7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CADCEE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8A7013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</w:tr>
      <w:tr w:rsidR="00492105" w:rsidRPr="00892FF4" w14:paraId="21C65BCE" w14:textId="77777777" w:rsidTr="00CC5D8D">
        <w:trPr>
          <w:cantSplit/>
          <w:trHeight w:val="46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F54A9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 xml:space="preserve">Strateji ve Süreç Geliştirme Müdürü                </w:t>
            </w: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br/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t>BAHAR YILDIRIM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FA47F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67273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>İnsan Kaynakları Grup Müdürü</w:t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br/>
              <w:t>ALİ KAAN GENÇ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1AF91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0CACB" w14:textId="703AF90F" w:rsidR="00792717" w:rsidRDefault="00792717" w:rsidP="00792717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="008D54D7"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t>Kalite Güvence Müdürü</w:t>
            </w:r>
          </w:p>
          <w:p w14:paraId="3B46FFE6" w14:textId="443F423D" w:rsidR="00492105" w:rsidRPr="00792717" w:rsidRDefault="00492105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ABDULLAH BAYDOĞAN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F538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4DEBA6" w14:textId="77777777" w:rsidR="00792717" w:rsidRDefault="00792717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  <w:t>EMS Genel Müdürü</w:t>
            </w:r>
          </w:p>
          <w:p w14:paraId="5A0F8DF8" w14:textId="67DBE6B9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FATİH SALBARS</w:t>
            </w:r>
          </w:p>
        </w:tc>
      </w:tr>
      <w:tr w:rsidR="00492105" w:rsidRPr="00892FF4" w14:paraId="44B99370" w14:textId="77777777" w:rsidTr="00CC5D8D">
        <w:trPr>
          <w:cantSplit/>
          <w:trHeight w:val="288"/>
        </w:trPr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BCB93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01A427B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537CF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659218" cy="566928"/>
                  <wp:effectExtent l="0" t="0" r="0" b="0"/>
                  <wp:docPr id="900102" name="Imza Ali Kaan Gen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2" name="Imza Ali Kaan Genc"/>
                          <pic:cNvPicPr/>
                        </pic:nvPicPr>
                        <pic:blipFill>
                          <a:blip r:embed="sigAliKaan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218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EAD2D9" w14:textId="5A968D6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78FB8" w14:textId="33A29CBB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850392" cy="566928"/>
                  <wp:effectExtent l="0" t="0" r="0" b="0"/>
                  <wp:docPr id="900104" name="Imza Abdullah Baydog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4" name="Imza Abdullah Baydogan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0392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16B39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B3A54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944879" cy="566928"/>
                  <wp:effectExtent l="0" t="0" r="0" b="0"/>
                  <wp:docPr id="900106" name="Imza Fatih Salba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6" name="Imza Fatih Salbars"/>
                          <pic:cNvPicPr/>
                        </pic:nvPicPr>
                        <pic:blipFill>
                          <a:blip r:embed="sigFatih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79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92105" w:rsidRPr="00892FF4" w14:paraId="2F4E587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113F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0546466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9C4D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75A2820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C21C4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9C4BD84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A761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7051B4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A6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CEB969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4593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362D1A7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9E75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BF8971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1E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FINAL AQL INSPECTION INSTRUCTION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تعليمات الفحص النهائي AQL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EMS.QA.TL.02.05.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0</w:t>
          </w:r>
          <w:r w:rsidR="00EA160E">
            <w:rPr>
              <w:rFonts w:cstheme="minorHAnsi"/>
              <w:sz w:val="16"/>
              <w:szCs w:val="16"/>
            </w:rPr>
            <w:t>2.10.2026</w:t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… / … / …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EMS.QA.TL.02.05. FINAL AQL INSPECTION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