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politika, Eroglu Knitting (EMS) olarak kalite, güvenlik, çevre, sosyal ve müşteri şartlarına uygun malzeme, kimyasal, ekipman ve hizmetleri; adil, şeffaf ve etik bir satın alma sürecinde, doğru zamanda ve doğru maliyetle satın alma taahhüdümüzü ortaya koyar.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şunları kapsar: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Hammaddeler: iplik, kumaş, trim, aksesuar ve paketleme malzemeleri,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Boya, kimyasal ve yardımcı maddeler, yedek parça, makine, ekipman ve sarf malzemeleri,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Hizmetler ve fason prosesler: baskı, nakış, yıkama, nakliye, bakım, atık bertarafı ve diğer dış kaynaklı işler.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Satın alma talebinde bulunan tüm EMS bölümleri, Satın Alma Departmanı ile EMS'nin tüm tedarikçi ve taşeronları için geçerlidir.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Genel Müdür:</w:t>
      </w:r>
      <w:r>
        <w:rPr>
          <w:rFonts w:ascii="Calibri" w:hAnsi="Calibri" w:cs="Arial"/>
          <w:sz w:val="24"/>
          <w:szCs w:val="24"/>
        </w:rPr>
        <w:t xml:space="preserve"> Politikayı onaylar, satın alma yetki limitlerini belirler ve yüksek tutarlı alımları onaylar.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Satın Alma Müdürü:</w:t>
      </w:r>
      <w:r>
        <w:rPr>
          <w:rFonts w:ascii="Calibri" w:hAnsi="Calibri" w:cs="Arial"/>
          <w:sz w:val="24"/>
          <w:szCs w:val="24"/>
        </w:rPr>
        <w:t xml:space="preserve"> Politikayı uygular, onaylı tedarikçi listesini yönetir ve satın alma ile tedarikçi performansını yönetime raporlar.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Talep Eden Bölümler:</w:t>
      </w:r>
      <w:r>
        <w:rPr>
          <w:rFonts w:ascii="Calibri" w:hAnsi="Calibri" w:cs="Arial"/>
          <w:sz w:val="24"/>
          <w:szCs w:val="24"/>
        </w:rPr>
        <w:t xml:space="preserve"> İhtiyaçlarını teknik şartnameler ve gerekli tarihlerle açık ve doğru tanımlar.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Kalite, Kimyasal ve Uyum Ekipleri:</w:t>
      </w:r>
      <w:r>
        <w:rPr>
          <w:rFonts w:ascii="Calibri" w:hAnsi="Calibri" w:cs="Arial"/>
          <w:sz w:val="24"/>
          <w:szCs w:val="24"/>
        </w:rPr>
        <w:t xml:space="preserve"> Teknik, kimyasal (ZDHC MRSL / RSL) ve sosyal uyum şartlarını belirler ve tedarikçi değerlendirmesine katılır.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Tedarikçi:</w:t>
      </w:r>
      <w:r>
        <w:rPr>
          <w:rFonts w:ascii="Calibri" w:hAnsi="Calibri" w:cs="Arial"/>
          <w:sz w:val="24"/>
          <w:szCs w:val="24"/>
        </w:rPr>
        <w:t xml:space="preserve"> EMS'ye malzeme, kimyasal, ekipman veya hizmet sağlayan firma veya kişi.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Taşeron:</w:t>
      </w:r>
      <w:r>
        <w:rPr>
          <w:rFonts w:ascii="Calibri" w:hAnsi="Calibri" w:cs="Arial"/>
          <w:sz w:val="24"/>
          <w:szCs w:val="24"/>
        </w:rPr>
        <w:t xml:space="preserve"> EMS adına üretim sürecinin bir kısmını (örneğin baskı, nakış veya yıkama) yürüten firma.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Onaylı Tedarikçi Listesi (OTL):</w:t>
      </w:r>
      <w:r>
        <w:rPr>
          <w:rFonts w:ascii="Calibri" w:hAnsi="Calibri" w:cs="Arial"/>
          <w:sz w:val="24"/>
          <w:szCs w:val="24"/>
        </w:rPr>
        <w:t xml:space="preserve"> EMS tarafından değerlendirilmiş ve onaylanmış tedarikçi ve taşeronların listesi.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POLİTİKA TAAHHÜTLERİ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TAAHHÜTLERİMİZ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EMS şunları taahhüt eder: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Yalnızca kalite, güvenlik, çevre ve sosyal uyum kriterlerimizi karşılayan onaylı tedarikçi ve taşeronlardan satın almak.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Yalnızca ZDHC MRSL ve müşteri RSL şartlarına uygun, geçerli Güvenlik Bilgi Formu (SDS) bulunan kimyasalları satın almak.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Adil, şeffaf ve rekabetçi satın alma uygulamak; rüşvet, karar etkileyen hediyeler, komisyon ve çıkar çatışması kesinlikle yasaktır.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Tüm tedarikçi ve taşeronlardan çocuk işçi çalıştırmama, zorla çalıştırmama, adil ücret ve güvenli çalışma koşullarını içeren EMS Tedarikçi Davranış Kurallarını kabul etmelerini istemek.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Yetkisiz fason çalıştırma yapmamak; gerektiğinde tüm taşeronlar müşteriye bildirilir ve onaylanır.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Sertifikalı ve sürdürülebilir malzemeleri (GRS, RCS, OCS) ve çevresel etkiyi azaltan tedarikçileri tercih etmek.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Geçerli Mısır mevzuatına, müşteri şartlarına ve ISO 9001, ISO 14001 ve ISO 45001 standartlarına uymak.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Tedarikçi performansını düzenli değerlendirmek ve sürekli iyileştirmeye dayalı uzun vadeli ortaklıklar geliştirmek.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GÖZDEN GEÇİRME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her yıl yönetimin gözden geçirmesinde veya önemli bir değişiklik olduğunda daha erken gözden geçirilir. İlgili tüm çalışanlara duyurulur, tedarikçi ve taşeronlarla paylaşılır.</w:t>
      </w:r>
    </w:p>
    <w:p>
      <w:r>
        <w:br w:type="page"/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SATIN ALMA POLİTİKASI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PURCHASING POLICY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EMS.SA.POL.04.01.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EMS.SA.POL.04.01. PURCHASING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