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Eroglu Knitting (EMS) bünyesinde yeni tedarikçi ve taşeronların kalite, teslimat, çevre, kimyasal ve sosyal uyum kriterlerine göre nasıl değerlendirilip onaylandığını, mevcut tedarikçi ve taşeronların performansının nasıl izlenip yeniden değerlendirildiğini tanımlar. EMS'nin yalnızca değerlendirilmiş ve onaylı tedarikçilerle çalışmasını, dışarıdan sağlanan proses, ürün ve hizmetlerin kontrol altında kalmasını sağlar (ISO 9001:2015, madde 8.4).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malzeme, kimyasal ve hizmet tedarikçilerinin tamamını ve EMS için üretim prosesleri (baskı, nakış, yıkama, örme veya dikim) yürüten tüm taşeronları kapsar. Müşterinin belirlediği tedarikçiler performans izlemeye dahildir. Hammadde, yarı mamul, trim ve hizmet tedarikçilerinin hepsi bu prosedür kapsamında değerlendirilir.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 Müdürü:</w:t>
      </w:r>
      <w:r>
        <w:rPr>
          <w:rFonts w:ascii="Calibri" w:hAnsi="Calibri" w:cs="Arial"/>
          <w:sz w:val="24"/>
          <w:szCs w:val="24"/>
        </w:rPr>
        <w:t xml:space="preserve"> Değerlendirmeyi koordine eder, Onaylı Tedarikçi Listesini tutar ve sonuçları tedarikçilerle paylaşır.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 Müdürü:</w:t>
      </w:r>
      <w:r>
        <w:rPr>
          <w:rFonts w:ascii="Calibri" w:hAnsi="Calibri" w:cs="Arial"/>
          <w:sz w:val="24"/>
          <w:szCs w:val="24"/>
        </w:rPr>
        <w:t xml:space="preserve"> Kalite sistemlerini, ürün kalitesini ve teslimat muayene sonuçlarını değerlendirir; tedarikçi 8D raporlarını ister ve kapatır.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ve Uyum Ekibi:</w:t>
      </w:r>
      <w:r>
        <w:rPr>
          <w:rFonts w:ascii="Calibri" w:hAnsi="Calibri" w:cs="Arial"/>
          <w:sz w:val="24"/>
          <w:szCs w:val="24"/>
        </w:rPr>
        <w:t xml:space="preserve"> Sosyal uyumu, iş sağlığı ve güvenliğini ve çevresel performansı değerlendirir; taşeron denetimlerini yapar.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Kimyasal Sorumlusu:</w:t>
      </w:r>
      <w:r>
        <w:rPr>
          <w:rFonts w:ascii="Calibri" w:hAnsi="Calibri" w:cs="Arial"/>
          <w:sz w:val="24"/>
          <w:szCs w:val="24"/>
        </w:rPr>
        <w:t xml:space="preserve"> Kimyasal tedarikçilerini ZDHC MRSL uygunluğu, SDS ve sertifikalar açısından değerlendirir.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ve Depo:</w:t>
      </w:r>
      <w:r>
        <w:rPr>
          <w:rFonts w:ascii="Calibri" w:hAnsi="Calibri" w:cs="Arial"/>
          <w:sz w:val="24"/>
          <w:szCs w:val="24"/>
        </w:rPr>
        <w:t xml:space="preserve"> Her tedarikçi için giriş test sonuçlarını ve mal kabul kayıtlarını (kabul ve red edilen lotlar)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Planlama:</w:t>
      </w:r>
      <w:r>
        <w:rPr>
          <w:rFonts w:ascii="Calibri" w:hAnsi="Calibri" w:cs="Arial"/>
          <w:sz w:val="24"/>
          <w:szCs w:val="24"/>
        </w:rPr>
        <w:t xml:space="preserve"> Teslimat performansını izler ve gecikmeleri bildirir.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Yeni kritik tedarikçileri, acil istisnaları ve tedarikçilerin listeden çıkarılması kararlarını onaylar.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Kritik Tedarikçi:</w:t>
      </w:r>
      <w:r>
        <w:rPr>
          <w:rFonts w:ascii="Calibri" w:hAnsi="Calibri" w:cs="Arial"/>
          <w:sz w:val="24"/>
          <w:szCs w:val="24"/>
        </w:rPr>
        <w:t xml:space="preserve"> Ürün veya hizmeti ürün kalitesini, ürün güvenliğini, kimyasal uyumu veya müşteriye teslimatı doğrudan etkileyen tedarikçi ya da taşeron.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Tedarikçi Puanı:</w:t>
      </w:r>
      <w:r>
        <w:rPr>
          <w:rFonts w:ascii="Calibri" w:hAnsi="Calibri" w:cs="Arial"/>
          <w:sz w:val="24"/>
          <w:szCs w:val="24"/>
        </w:rPr>
        <w:t xml:space="preserve"> Her tedarikçi için kalite, teslimat, uyum ve hizmet kriterlerinden hesaplanan performans puanı.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Yetkisiz Fason:</w:t>
      </w:r>
      <w:r>
        <w:rPr>
          <w:rFonts w:ascii="Calibri" w:hAnsi="Calibri" w:cs="Arial"/>
          <w:sz w:val="24"/>
          <w:szCs w:val="24"/>
        </w:rPr>
        <w:t xml:space="preserve"> Üretimin herhangi bir kısmının EMS tarafından ve gerekirse müşteri tarafından onaylanmamış bir tesise verilmesi.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OTIF:</w:t>
      </w:r>
      <w:r>
        <w:rPr>
          <w:rFonts w:ascii="Calibri" w:hAnsi="Calibri" w:cs="Arial"/>
          <w:sz w:val="24"/>
          <w:szCs w:val="24"/>
        </w:rPr>
        <w:t xml:space="preserve"> Zamanında ve eksiksiz teslimat oranı.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PPM:</w:t>
      </w:r>
      <w:r>
        <w:rPr>
          <w:rFonts w:ascii="Calibri" w:hAnsi="Calibri" w:cs="Arial"/>
          <w:sz w:val="24"/>
          <w:szCs w:val="24"/>
        </w:rPr>
        <w:t xml:space="preserve"> Teslim edilen milyon parçadaki hatalı parça sayısı.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Şartlı Onay:</w:t>
      </w:r>
      <w:r>
        <w:rPr>
          <w:rFonts w:ascii="Calibri" w:hAnsi="Calibri" w:cs="Arial"/>
          <w:sz w:val="24"/>
          <w:szCs w:val="24"/>
        </w:rPr>
        <w:t xml:space="preserve"> Tanımlı iyileştirme koşulu ve süresiyle verilen geçici onay.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 Raporu:</w:t>
      </w:r>
      <w:r>
        <w:rPr>
          <w:rFonts w:ascii="Calibri" w:hAnsi="Calibri" w:cs="Arial"/>
          <w:sz w:val="24"/>
          <w:szCs w:val="24"/>
        </w:rPr>
        <w:t xml:space="preserve"> Bir uygunsuzluğa tedarikçinin verdiği; önlem, kök neden ve düzeltici faaliyeti içeren yapılandırılmış yanıt.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YENİ TEDARİKÇİ VE TAŞERONLARIN DEĞERLENDİRİLMESİ</w:t>
      </w:r>
    </w:p>
    <w:p>
      <w:pPr>
        <w:pStyle w:val="ListeParagraf"/>
        <w:spacing w:after="80"/>
        <w:ind w:left="709" w:right="0"/>
        <w:jc w:val="both"/>
      </w:pPr>
      <w:r>
        <w:rPr>
          <w:rFonts w:ascii="Calibri" w:hAnsi="Calibri" w:cs="Arial"/>
          <w:sz w:val="24"/>
          <w:szCs w:val="24"/>
        </w:rPr>
        <w:t xml:space="preserve">1.1. Yeni tedarikçi önce firma bilgileri, kapasite, sertifikalar (ISO 9001, ISO 14001, GRS, RCS, OCS, OEKO-TEX), kalite sistemi, referanslar ve sosyal uyum durumunu kapsayan Tedarikçi Değerlendirme Anketi (EMS.SA.FRM.04.01) ile değerlendirilir (EMS.SA.TL.04.01).</w:t>
      </w:r>
    </w:p>
    <w:p>
      <w:pPr>
        <w:pStyle w:val="ListeParagraf"/>
        <w:spacing w:after="80"/>
        <w:ind w:left="709" w:right="0"/>
        <w:jc w:val="both"/>
      </w:pPr>
      <w:r>
        <w:rPr>
          <w:rFonts w:ascii="Calibri" w:hAnsi="Calibri" w:cs="Arial"/>
          <w:sz w:val="24"/>
          <w:szCs w:val="24"/>
        </w:rPr>
        <w:t xml:space="preserve">1.2. Tedarikçi EMS Tedarikçi Davranış Kurallarını ve rüşvet karşıtı beyanı imzalar.</w:t>
      </w:r>
    </w:p>
    <w:p>
      <w:pPr>
        <w:pStyle w:val="ListeParagraf"/>
        <w:spacing w:after="80"/>
        <w:ind w:left="709" w:right="0"/>
        <w:jc w:val="both"/>
      </w:pPr>
      <w:r>
        <w:rPr>
          <w:rFonts w:ascii="Calibri" w:hAnsi="Calibri" w:cs="Arial"/>
          <w:sz w:val="24"/>
          <w:szCs w:val="24"/>
        </w:rPr>
        <w:t xml:space="preserve">1.3. Kimyasal tedarikçileri her ürün için SDS, teknik veri formu ve ZDHC MRSL uygunluk kanıtı sağlar.</w:t>
      </w:r>
    </w:p>
    <w:p>
      <w:pPr>
        <w:pStyle w:val="ListeParagraf"/>
        <w:spacing w:after="80"/>
        <w:ind w:left="709" w:right="0"/>
        <w:jc w:val="both"/>
      </w:pPr>
      <w:r>
        <w:rPr>
          <w:rFonts w:ascii="Calibri" w:hAnsi="Calibri" w:cs="Arial"/>
          <w:sz w:val="24"/>
          <w:szCs w:val="24"/>
        </w:rPr>
        <w:t xml:space="preserve">1.4. Kritik tedarikçiler ve tüm taşeronlar onaydan önce yerinde denetlenir. Denetim şunları kapsar:</w:t>
      </w:r>
    </w:p>
    <w:p>
      <w:pPr>
        <w:pStyle w:val="ListeParagraf"/>
        <w:numPr>
          <w:ilvl w:val="0"/>
          <w:numId w:val="1"/>
        </w:numPr>
        <w:spacing w:after="60"/>
        <w:jc w:val="both"/>
      </w:pPr>
      <w:r>
        <w:rPr>
          <w:rFonts w:ascii="Calibri" w:hAnsi="Calibri" w:cs="Arial"/>
          <w:sz w:val="24"/>
          <w:szCs w:val="24"/>
        </w:rPr>
        <w:t xml:space="preserve">Kalite sistemi, üretim kapasitesi ve ürün muayenesi,</w:t>
      </w:r>
    </w:p>
    <w:p>
      <w:pPr>
        <w:pStyle w:val="ListeParagraf"/>
        <w:numPr>
          <w:ilvl w:val="0"/>
          <w:numId w:val="1"/>
        </w:numPr>
        <w:spacing w:after="60"/>
        <w:jc w:val="both"/>
      </w:pPr>
      <w:r>
        <w:rPr>
          <w:rFonts w:ascii="Calibri" w:hAnsi="Calibri" w:cs="Arial"/>
          <w:sz w:val="24"/>
          <w:szCs w:val="24"/>
        </w:rPr>
        <w:t xml:space="preserve">Çalışma koşulları, çalışma saatleri, ücretler, yaş doğrulama ve zorla çalıştırma olmaması,</w:t>
      </w:r>
    </w:p>
    <w:p>
      <w:pPr>
        <w:pStyle w:val="ListeParagraf"/>
        <w:numPr>
          <w:ilvl w:val="0"/>
          <w:numId w:val="1"/>
        </w:numPr>
        <w:spacing w:after="60"/>
        <w:jc w:val="both"/>
      </w:pPr>
      <w:r>
        <w:rPr>
          <w:rFonts w:ascii="Calibri" w:hAnsi="Calibri" w:cs="Arial"/>
          <w:sz w:val="24"/>
          <w:szCs w:val="24"/>
        </w:rPr>
        <w:t xml:space="preserve">Yangın güvenliği, bina güvenliği, iş sağlığı ve güvenliği ve kimyasal depolama,</w:t>
      </w:r>
    </w:p>
    <w:p>
      <w:pPr>
        <w:pStyle w:val="ListeParagraf"/>
        <w:numPr>
          <w:ilvl w:val="0"/>
          <w:numId w:val="1"/>
        </w:numPr>
        <w:spacing w:after="60"/>
        <w:jc w:val="both"/>
      </w:pPr>
      <w:r>
        <w:rPr>
          <w:rFonts w:ascii="Calibri" w:hAnsi="Calibri" w:cs="Arial"/>
          <w:sz w:val="24"/>
          <w:szCs w:val="24"/>
        </w:rPr>
        <w:t xml:space="preserve">Çevre izinleri, atık ve atıksu yönetimi ve mal güvenliği.</w:t>
      </w:r>
    </w:p>
    <w:p>
      <w:pPr>
        <w:pStyle w:val="ListeParagraf"/>
        <w:spacing w:after="80"/>
        <w:ind w:left="709" w:right="0"/>
        <w:jc w:val="both"/>
      </w:pPr>
      <w:r>
        <w:rPr>
          <w:rFonts w:ascii="Calibri" w:hAnsi="Calibri" w:cs="Arial"/>
          <w:sz w:val="24"/>
          <w:szCs w:val="24"/>
        </w:rPr>
        <w:t xml:space="preserve">1.5. Gerekirse numuneler veya deneme siparişi Kalite Güvence tarafından değerlendirilir.</w:t>
      </w:r>
    </w:p>
    <w:p>
      <w:pPr>
        <w:pStyle w:val="ListeParagraf"/>
        <w:spacing w:after="80"/>
        <w:ind w:left="709" w:right="0"/>
        <w:jc w:val="both"/>
      </w:pPr>
      <w:r>
        <w:rPr>
          <w:rFonts w:ascii="Calibri" w:hAnsi="Calibri" w:cs="Arial"/>
          <w:sz w:val="24"/>
          <w:szCs w:val="24"/>
        </w:rPr>
        <w:t xml:space="preserve">1.6. Sonuçlara göre Kalite Güvence ve Satın Alma birlikte karar verir: tedarikçi onaylanır, düzeltici faaliyet planıyla şartlı onaylanır veya reddedilir; onaylı tedarikçiler Onaylı Tedarikçi Listesine eklenir (EMS.SA.FRM.04.05; EMS.SA.TL.04.01).</w:t>
      </w:r>
    </w:p>
    <w:p>
      <w:pPr>
        <w:pStyle w:val="ListeParagraf"/>
        <w:spacing w:after="80"/>
        <w:ind w:left="709" w:right="0"/>
        <w:jc w:val="both"/>
      </w:pPr>
      <w:r>
        <w:rPr>
          <w:rFonts w:ascii="Calibri" w:hAnsi="Calibri" w:cs="Arial"/>
          <w:sz w:val="24"/>
          <w:szCs w:val="24"/>
        </w:rPr>
        <w:t xml:space="preserve">1.7. Listede olmayan tedarikçiye sipariş verilmez; acil istisna Genel Müdür onayı ve ilave giriş kontrolü gerektirir.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TAŞERON KONTROLÜ</w:t>
      </w:r>
    </w:p>
    <w:p>
      <w:pPr>
        <w:pStyle w:val="ListeParagraf"/>
        <w:spacing w:after="80"/>
        <w:ind w:left="709" w:right="0"/>
        <w:jc w:val="both"/>
      </w:pPr>
      <w:r>
        <w:rPr>
          <w:rFonts w:ascii="Calibri" w:hAnsi="Calibri" w:cs="Arial"/>
          <w:sz w:val="24"/>
          <w:szCs w:val="24"/>
        </w:rPr>
        <w:t xml:space="preserve">2.1. İş yalnızca onaylı taşeronlara verilir; müşteri talep ediyorsa müşteri bilgilendirilir ve onayı alınır.</w:t>
      </w:r>
    </w:p>
    <w:p>
      <w:pPr>
        <w:pStyle w:val="ListeParagraf"/>
        <w:spacing w:after="80"/>
        <w:ind w:left="709" w:right="0"/>
        <w:jc w:val="both"/>
      </w:pPr>
      <w:r>
        <w:rPr>
          <w:rFonts w:ascii="Calibri" w:hAnsi="Calibri" w:cs="Arial"/>
          <w:sz w:val="24"/>
          <w:szCs w:val="24"/>
        </w:rPr>
        <w:t xml:space="preserve">2.2. Taşeronlara gönderilen ve taşeronlardan alınan mallar, izlenebilirliği korumak için miktar ve sipariş bilgileriyle kaydedilir.</w:t>
      </w:r>
    </w:p>
    <w:p>
      <w:pPr>
        <w:pStyle w:val="ListeParagraf"/>
        <w:spacing w:after="80"/>
        <w:ind w:left="709" w:right="0"/>
        <w:jc w:val="both"/>
      </w:pPr>
      <w:r>
        <w:rPr>
          <w:rFonts w:ascii="Calibri" w:hAnsi="Calibri" w:cs="Arial"/>
          <w:sz w:val="24"/>
          <w:szCs w:val="24"/>
        </w:rPr>
        <w:t xml:space="preserve">2.3. Kalite ve çalışma koşullarını kontrol etmek için üretim sırasında taşeronlara habersiz ziyaretler yapılır.</w:t>
      </w:r>
    </w:p>
    <w:p>
      <w:pPr>
        <w:pStyle w:val="ListeParagraf"/>
        <w:spacing w:after="80"/>
        <w:ind w:left="709" w:right="0"/>
        <w:jc w:val="both"/>
      </w:pPr>
      <w:r>
        <w:rPr>
          <w:rFonts w:ascii="Calibri" w:hAnsi="Calibri" w:cs="Arial"/>
          <w:sz w:val="24"/>
          <w:szCs w:val="24"/>
        </w:rPr>
        <w:t xml:space="preserve">2.4. Dış kaynaklı prosesin ayrıntılı kontrolü EMS.SA.PRO.04.04.'e göre yapılır.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GİRİŞ KONTROL GEÇMİŞİ VE TEDARİKÇİ ŞARTLARI</w:t>
      </w:r>
    </w:p>
    <w:p>
      <w:pPr>
        <w:pStyle w:val="ListeParagraf"/>
        <w:spacing w:after="80"/>
        <w:ind w:left="709" w:right="0"/>
        <w:jc w:val="both"/>
      </w:pPr>
      <w:r>
        <w:rPr>
          <w:rFonts w:ascii="Calibri" w:hAnsi="Calibri" w:cs="Arial"/>
          <w:sz w:val="24"/>
          <w:szCs w:val="24"/>
        </w:rPr>
        <w:t xml:space="preserve">3.1. Satın alma siparişlerinde şartname, test şartı, kısıtlı madde şartı, paketleme, etiketleme ve teslim tarihi açıkça belirtilir; müşterinin belirlediği şartlar (onaylı kimyasallar, sertifikalı malzeme) tedarikçiye yazılı olarak iletilir (EMS.SA.PRO.04.02).</w:t>
      </w:r>
    </w:p>
    <w:p>
      <w:pPr>
        <w:pStyle w:val="ListeParagraf"/>
        <w:spacing w:after="80"/>
        <w:ind w:left="709" w:right="0"/>
        <w:jc w:val="both"/>
      </w:pPr>
      <w:r>
        <w:rPr>
          <w:rFonts w:ascii="Calibri" w:hAnsi="Calibri" w:cs="Arial"/>
          <w:sz w:val="24"/>
          <w:szCs w:val="24"/>
        </w:rPr>
        <w:t xml:space="preserve">3.2. Gerektiğinde her teslimatla birlikte ürün sertifikaları ve test raporları istenir.</w:t>
      </w:r>
    </w:p>
    <w:p>
      <w:pPr>
        <w:pStyle w:val="ListeParagraf"/>
        <w:spacing w:after="80"/>
        <w:ind w:left="709" w:right="0"/>
        <w:jc w:val="both"/>
      </w:pPr>
      <w:r>
        <w:rPr>
          <w:rFonts w:ascii="Calibri" w:hAnsi="Calibri" w:cs="Arial"/>
          <w:sz w:val="24"/>
          <w:szCs w:val="24"/>
        </w:rPr>
        <w:t xml:space="preserve">3.3. Her teslimat depo ve laboratuvar prosedürlerine göre kontrol edilir; kabul ve red sonuçları tedarikçi bazında kaydedilir. İplik girdileri İplik Muayene Giriş Kontrol ve Tedarikçi Değerlendirme Formu (EMS.QA.FRM.07.19) ile değerlendirilir.</w:t>
      </w:r>
    </w:p>
    <w:p>
      <w:pPr>
        <w:pStyle w:val="ListeParagraf"/>
        <w:spacing w:after="80"/>
        <w:ind w:left="709" w:right="0"/>
        <w:jc w:val="both"/>
      </w:pPr>
      <w:r>
        <w:rPr>
          <w:rFonts w:ascii="Calibri" w:hAnsi="Calibri" w:cs="Arial"/>
          <w:sz w:val="24"/>
          <w:szCs w:val="24"/>
        </w:rPr>
        <w:t xml:space="preserve">3.4. Uygun olmayan lotlar etiketlenir ve karantinaya alınır; Kalite Güvence red, şartlı kabul veya iade kararı verir.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PERFORMANS İZLEME</w:t>
      </w:r>
    </w:p>
    <w:p>
      <w:pPr>
        <w:pStyle w:val="ListeParagraf"/>
        <w:spacing w:after="80"/>
        <w:ind w:left="709" w:right="0"/>
        <w:jc w:val="both"/>
      </w:pPr>
      <w:r>
        <w:rPr>
          <w:rFonts w:ascii="Calibri" w:hAnsi="Calibri" w:cs="Arial"/>
          <w:sz w:val="24"/>
          <w:szCs w:val="24"/>
        </w:rPr>
        <w:t xml:space="preserve">4.1. Tedarikçi performansı kritik tedarikçilerde altı ayda bir, diğerlerinde yılda bir değerlendirilir; kritik tedarikçiler mal kabul kayıtlarından üç ayda bir puanlanır (EMS.SA.TL.04.01; EMS.SA.TL.04.01). Kriterler şunlardır:</w:t>
      </w:r>
    </w:p>
    <w:p>
      <w:pPr>
        <w:pStyle w:val="ListeParagraf"/>
        <w:numPr>
          <w:ilvl w:val="0"/>
          <w:numId w:val="1"/>
        </w:numPr>
        <w:spacing w:after="60"/>
        <w:jc w:val="both"/>
      </w:pPr>
      <w:r>
        <w:rPr>
          <w:rFonts w:ascii="Calibri" w:hAnsi="Calibri" w:cs="Arial"/>
          <w:sz w:val="24"/>
          <w:szCs w:val="24"/>
        </w:rPr>
        <w:t xml:space="preserve">Kalite: reddedilen teslimatlar ve şikâyetler, lot kabul oranı ve PPM (%40),</w:t>
      </w:r>
    </w:p>
    <w:p>
      <w:pPr>
        <w:pStyle w:val="ListeParagraf"/>
        <w:numPr>
          <w:ilvl w:val="0"/>
          <w:numId w:val="1"/>
        </w:numPr>
        <w:spacing w:after="60"/>
        <w:jc w:val="both"/>
      </w:pPr>
      <w:r>
        <w:rPr>
          <w:rFonts w:ascii="Calibri" w:hAnsi="Calibri" w:cs="Arial"/>
          <w:sz w:val="24"/>
          <w:szCs w:val="24"/>
        </w:rPr>
        <w:t xml:space="preserve">Teslimat: zamanında ve eksiksiz teslimat, OTIF (%30),</w:t>
      </w:r>
    </w:p>
    <w:p>
      <w:pPr>
        <w:pStyle w:val="ListeParagraf"/>
        <w:numPr>
          <w:ilvl w:val="0"/>
          <w:numId w:val="1"/>
        </w:numPr>
        <w:spacing w:after="60"/>
        <w:jc w:val="both"/>
      </w:pPr>
      <w:r>
        <w:rPr>
          <w:rFonts w:ascii="Calibri" w:hAnsi="Calibri" w:cs="Arial"/>
          <w:sz w:val="24"/>
          <w:szCs w:val="24"/>
        </w:rPr>
        <w:t xml:space="preserve">Uyum: sosyal, çevresel ve kimyasal uyum, sertifika geçerliliği ve denetim bulguları (%20),</w:t>
      </w:r>
    </w:p>
    <w:p>
      <w:pPr>
        <w:pStyle w:val="ListeParagraf"/>
        <w:numPr>
          <w:ilvl w:val="0"/>
          <w:numId w:val="1"/>
        </w:numPr>
        <w:spacing w:after="60"/>
        <w:jc w:val="both"/>
      </w:pPr>
      <w:r>
        <w:rPr>
          <w:rFonts w:ascii="Calibri" w:hAnsi="Calibri" w:cs="Arial"/>
          <w:sz w:val="24"/>
          <w:szCs w:val="24"/>
        </w:rPr>
        <w:t xml:space="preserve">Hizmet: iletişim, esneklik ve sorunlara yanıt (%10).</w:t>
      </w:r>
    </w:p>
    <w:p>
      <w:pPr>
        <w:pStyle w:val="ListeParagraf"/>
        <w:spacing w:after="80"/>
        <w:ind w:left="709" w:right="0"/>
        <w:jc w:val="both"/>
      </w:pPr>
      <w:r>
        <w:rPr>
          <w:rFonts w:ascii="Calibri" w:hAnsi="Calibri" w:cs="Arial"/>
          <w:sz w:val="24"/>
          <w:szCs w:val="24"/>
        </w:rPr>
        <w:t xml:space="preserve">4.2. Tedarikçiler puanlarına göre sınıflandırılır: A (85-100) tercihli, B (70-84) onaylı, C (50-69) iyileştirme planı gerekli, D (50'nin altı) listeden çıkarılır.</w:t>
      </w:r>
    </w:p>
    <w:p>
      <w:pPr>
        <w:pStyle w:val="ListeParagraf"/>
        <w:spacing w:after="80"/>
        <w:ind w:left="709" w:right="0"/>
        <w:jc w:val="both"/>
      </w:pPr>
      <w:r>
        <w:rPr>
          <w:rFonts w:ascii="Calibri" w:hAnsi="Calibri" w:cs="Arial"/>
          <w:sz w:val="24"/>
          <w:szCs w:val="24"/>
        </w:rPr>
        <w:t xml:space="preserve">4.3. Her değerlendirmenin sonucu Tedarikçi Performans Formuna (EMS.SA.FRM.04.04) kaydedilir ve tedarikçi ile paylaşılır.</w:t>
      </w:r>
    </w:p>
    <w:p>
      <w:pPr>
        <w:pStyle w:val="ListeParagraf"/>
        <w:spacing w:after="80"/>
        <w:ind w:left="709" w:right="0"/>
        <w:jc w:val="both"/>
      </w:pPr>
      <w:r>
        <w:rPr>
          <w:rFonts w:ascii="Calibri" w:hAnsi="Calibri" w:cs="Arial"/>
          <w:sz w:val="24"/>
          <w:szCs w:val="24"/>
        </w:rPr>
        <w:t xml:space="preserve">4.4. Onaylı her tedarikçi, puan geçmişi, sertifika geçerliliği ve gerekirse denetimle en az yılda bir yeniden değerlendirilir; sertifikası süresi dolan tedarikçi, yenilenene kadar şartlı durumda tutulur.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DÜZELTİCİ FAALİYETLER VE GELİŞTİRME</w:t>
      </w:r>
    </w:p>
    <w:p>
      <w:pPr>
        <w:pStyle w:val="ListeParagraf"/>
        <w:spacing w:after="80"/>
        <w:ind w:left="709" w:right="0"/>
        <w:jc w:val="both"/>
      </w:pPr>
      <w:r>
        <w:rPr>
          <w:rFonts w:ascii="Calibri" w:hAnsi="Calibri" w:cs="Arial"/>
          <w:sz w:val="24"/>
          <w:szCs w:val="24"/>
        </w:rPr>
        <w:t xml:space="preserve">5.1. C sınıfındaki tedarikçilerden, lotu reddedilen tedarikçilerden ve kritik denetim bulgusu olan tedarikçilerden düzeltici faaliyet planı sunmaları istenir; Tedarikçi DÖF Talep Formu (EMS.SA.FRM.04.06) gönderilir ve 8D raporu istenir (EMS.SA.TL.04.01).</w:t>
      </w:r>
    </w:p>
    <w:p>
      <w:pPr>
        <w:pStyle w:val="ListeParagraf"/>
        <w:spacing w:after="80"/>
        <w:ind w:left="709" w:right="0"/>
        <w:jc w:val="both"/>
      </w:pPr>
      <w:r>
        <w:rPr>
          <w:rFonts w:ascii="Calibri" w:hAnsi="Calibri" w:cs="Arial"/>
          <w:sz w:val="24"/>
          <w:szCs w:val="24"/>
        </w:rPr>
        <w:t xml:space="preserve">5.2. Tedarikçi ilk yanıtı (önlem) 24 saat içinde, kök neden ve düzeltici faaliyeti en geç 30 gün içinde (ürün uygunsuzluklarında 10 iş günü) sunar; rapor Kalite Güvence tarafından gözden geçirilir, yetersizse yeniden istenir.</w:t>
      </w:r>
    </w:p>
    <w:p>
      <w:pPr>
        <w:pStyle w:val="ListeParagraf"/>
        <w:spacing w:after="80"/>
        <w:ind w:left="709" w:right="0"/>
        <w:jc w:val="both"/>
      </w:pPr>
      <w:r>
        <w:rPr>
          <w:rFonts w:ascii="Calibri" w:hAnsi="Calibri" w:cs="Arial"/>
          <w:sz w:val="24"/>
          <w:szCs w:val="24"/>
        </w:rPr>
        <w:t xml:space="preserve">5.3. Etkinlik, takip eden üç ardışık lotta, takip denetimiyle veya kanıt incelemesiyle doğrulanır; o zamana kadar dosya kapatılmaz (EMS.KS.PRO.22.03).</w:t>
      </w:r>
    </w:p>
    <w:p>
      <w:pPr>
        <w:pStyle w:val="ListeParagraf"/>
        <w:spacing w:after="80"/>
        <w:ind w:left="709" w:right="0"/>
        <w:jc w:val="both"/>
      </w:pPr>
      <w:r>
        <w:rPr>
          <w:rFonts w:ascii="Calibri" w:hAnsi="Calibri" w:cs="Arial"/>
          <w:sz w:val="24"/>
          <w:szCs w:val="24"/>
        </w:rPr>
        <w:t xml:space="preserve">5.4. Sıfır tolerans bulgularında (çocuk işçi, zorla çalıştırma, yetkisiz fason, rüşvet veya ciddi güvenlik riski) siparişler derhal durdurulur ve durum Genel Müdüre ve gerekirse müşteriye bildirilir.</w:t>
      </w:r>
    </w:p>
    <w:p>
      <w:pPr>
        <w:pStyle w:val="ListeParagraf"/>
        <w:spacing w:after="80"/>
        <w:ind w:left="709" w:right="0"/>
        <w:jc w:val="both"/>
      </w:pPr>
      <w:r>
        <w:rPr>
          <w:rFonts w:ascii="Calibri" w:hAnsi="Calibri" w:cs="Arial"/>
          <w:sz w:val="24"/>
          <w:szCs w:val="24"/>
        </w:rPr>
        <w:t xml:space="preserve">5.5. Uygunsuzluk EMS'nin üretmiş olduğu ürünleri etkiliyorsa etkilenen ürünler izlenir, ayrılır ve EMS.KS.PRO.22.02.'ye göre ele alınır.</w:t>
      </w:r>
    </w:p>
    <w:p>
      <w:pPr>
        <w:pStyle w:val="ListeParagraf"/>
        <w:spacing w:after="80"/>
        <w:ind w:left="709" w:right="0"/>
        <w:jc w:val="both"/>
      </w:pPr>
      <w:r>
        <w:rPr>
          <w:rFonts w:ascii="Calibri" w:hAnsi="Calibri" w:cs="Arial"/>
          <w:sz w:val="24"/>
          <w:szCs w:val="24"/>
        </w:rPr>
        <w:t xml:space="preserve">5.6. Tekrarlayan uygunsuzluklar ilave kontrole, yerinde denetime, alternatif kaynak geliştirmeye veya Onaylı Tedarikçi Listesinden çıkarmaya yol açar; iyi performans gösterenlere yeni siparişlerde öncelik verilir.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İZLEME VE PERFORMANS</w:t>
      </w:r>
    </w:p>
    <w:p>
      <w:pPr>
        <w:pStyle w:val="ListeParagraf"/>
        <w:spacing w:after="80"/>
        <w:ind w:left="709" w:right="0"/>
        <w:jc w:val="both"/>
      </w:pPr>
      <w:r>
        <w:rPr>
          <w:rFonts w:ascii="Calibri" w:hAnsi="Calibri" w:cs="Arial"/>
          <w:sz w:val="24"/>
          <w:szCs w:val="24"/>
        </w:rPr>
        <w:t xml:space="preserve">6.1. Satın Alma Müdürü aşağıdaki göstergeleri her yıl (kritik tedarikçiler: altı ayda bir) yönetimin gözden geçirmesinde raporlar:</w:t>
      </w:r>
    </w:p>
    <w:p>
      <w:pPr>
        <w:pStyle w:val="ListeParagraf"/>
        <w:numPr>
          <w:ilvl w:val="0"/>
          <w:numId w:val="1"/>
        </w:numPr>
        <w:spacing w:after="60"/>
        <w:jc w:val="both"/>
      </w:pPr>
      <w:r>
        <w:rPr>
          <w:rFonts w:ascii="Calibri" w:hAnsi="Calibri" w:cs="Arial"/>
          <w:sz w:val="24"/>
          <w:szCs w:val="24"/>
        </w:rPr>
        <w:t xml:space="preserve">Zamanında değerlendirilen ve denetlenen kritik tedarikçi yüzdesi (%),</w:t>
      </w:r>
    </w:p>
    <w:p>
      <w:pPr>
        <w:pStyle w:val="ListeParagraf"/>
        <w:numPr>
          <w:ilvl w:val="0"/>
          <w:numId w:val="1"/>
        </w:numPr>
        <w:spacing w:after="60"/>
        <w:jc w:val="both"/>
      </w:pPr>
      <w:r>
        <w:rPr>
          <w:rFonts w:ascii="Calibri" w:hAnsi="Calibri" w:cs="Arial"/>
          <w:sz w:val="24"/>
          <w:szCs w:val="24"/>
        </w:rPr>
        <w:t xml:space="preserve">Yıllık değerlendirmesi yapılmayan tedarikçiler (hedef: 0),</w:t>
      </w:r>
    </w:p>
    <w:p>
      <w:pPr>
        <w:pStyle w:val="ListeParagraf"/>
        <w:numPr>
          <w:ilvl w:val="0"/>
          <w:numId w:val="1"/>
        </w:numPr>
        <w:spacing w:after="60"/>
        <w:jc w:val="both"/>
      </w:pPr>
      <w:r>
        <w:rPr>
          <w:rFonts w:ascii="Calibri" w:hAnsi="Calibri" w:cs="Arial"/>
          <w:sz w:val="24"/>
          <w:szCs w:val="24"/>
        </w:rPr>
        <w:t xml:space="preserve">Onaylı olmayan tedarikçilerden yapılan alımlar (hedef: 0),</w:t>
      </w:r>
    </w:p>
    <w:p>
      <w:pPr>
        <w:pStyle w:val="ListeParagraf"/>
        <w:numPr>
          <w:ilvl w:val="0"/>
          <w:numId w:val="1"/>
        </w:numPr>
        <w:spacing w:after="60"/>
        <w:jc w:val="both"/>
      </w:pPr>
      <w:r>
        <w:rPr>
          <w:rFonts w:ascii="Calibri" w:hAnsi="Calibri" w:cs="Arial"/>
          <w:sz w:val="24"/>
          <w:szCs w:val="24"/>
        </w:rPr>
        <w:t xml:space="preserve">Lot kabul oranı (örnek hedef: en az %98), PPM ve OTIF (örnek hedef: en az %95),</w:t>
      </w:r>
    </w:p>
    <w:p>
      <w:pPr>
        <w:pStyle w:val="ListeParagraf"/>
        <w:numPr>
          <w:ilvl w:val="0"/>
          <w:numId w:val="1"/>
        </w:numPr>
        <w:spacing w:after="60"/>
        <w:jc w:val="both"/>
      </w:pPr>
      <w:r>
        <w:rPr>
          <w:rFonts w:ascii="Calibri" w:hAnsi="Calibri" w:cs="Arial"/>
          <w:sz w:val="24"/>
          <w:szCs w:val="24"/>
        </w:rPr>
        <w:t xml:space="preserve">Tedarikçilerin sınıflara göre dağılımı (A, B, C, D),</w:t>
      </w:r>
    </w:p>
    <w:p>
      <w:pPr>
        <w:pStyle w:val="ListeParagraf"/>
        <w:numPr>
          <w:ilvl w:val="0"/>
          <w:numId w:val="1"/>
        </w:numPr>
        <w:spacing w:after="60"/>
        <w:jc w:val="both"/>
      </w:pPr>
      <w:r>
        <w:rPr>
          <w:rFonts w:ascii="Calibri" w:hAnsi="Calibri" w:cs="Arial"/>
          <w:sz w:val="24"/>
          <w:szCs w:val="24"/>
        </w:rPr>
        <w:t xml:space="preserve">Açık tedarikçi düzeltici faaliyet sayısı.</w:t>
      </w:r>
    </w:p>
    <w:p>
      <w:pPr>
        <w:pStyle w:val="ListeParagraf"/>
        <w:spacing w:after="80"/>
        <w:ind w:left="709" w:right="0"/>
        <w:jc w:val="both"/>
      </w:pPr>
      <w:r>
        <w:rPr>
          <w:rFonts w:ascii="Calibri" w:hAnsi="Calibri" w:cs="Arial"/>
          <w:sz w:val="24"/>
          <w:szCs w:val="24"/>
        </w:rPr>
        <w:t xml:space="preserve">6.2. Hedefler ve eşikler müşteri şartnamesinde ve şirket politikasında belirlenir ve gerektiğinde güncellenir.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İLGİLİ DOKÜMANLAR VE KAYITLAR</w:t>
      </w:r>
    </w:p>
    <w:p>
      <w:pPr>
        <w:pStyle w:val="ListeParagraf"/>
        <w:numPr>
          <w:ilvl w:val="0"/>
          <w:numId w:val="1"/>
        </w:numPr>
        <w:spacing w:after="60"/>
        <w:jc w:val="both"/>
      </w:pPr>
      <w:r>
        <w:rPr>
          <w:rFonts w:ascii="Calibri" w:hAnsi="Calibri" w:cs="Arial"/>
          <w:sz w:val="24"/>
          <w:szCs w:val="24"/>
        </w:rPr>
        <w:t xml:space="preserve">Tedarikçi Değerlendirme Anketi ve Tedarikçi Denetim Kontrol Listesi (EMS.SA.FRM.04.01)</w:t>
      </w:r>
    </w:p>
    <w:p>
      <w:pPr>
        <w:pStyle w:val="ListeParagraf"/>
        <w:numPr>
          <w:ilvl w:val="0"/>
          <w:numId w:val="1"/>
        </w:numPr>
        <w:spacing w:after="60"/>
        <w:jc w:val="both"/>
      </w:pPr>
      <w:r>
        <w:rPr>
          <w:rFonts w:ascii="Calibri" w:hAnsi="Calibri" w:cs="Arial"/>
          <w:sz w:val="24"/>
          <w:szCs w:val="24"/>
        </w:rPr>
        <w:t xml:space="preserve">Onaylı Tedarikçi Listesi (EMS.SA.FRM.04.05)</w:t>
      </w:r>
    </w:p>
    <w:p>
      <w:pPr>
        <w:pStyle w:val="ListeParagraf"/>
        <w:numPr>
          <w:ilvl w:val="0"/>
          <w:numId w:val="1"/>
        </w:numPr>
        <w:spacing w:after="60"/>
        <w:jc w:val="both"/>
      </w:pPr>
      <w:r>
        <w:rPr>
          <w:rFonts w:ascii="Calibri" w:hAnsi="Calibri" w:cs="Arial"/>
          <w:sz w:val="24"/>
          <w:szCs w:val="24"/>
        </w:rPr>
        <w:t xml:space="preserve">Tedarikçi Performans Formu ve Karneleri (EMS.SA.FRM.04.04)</w:t>
      </w:r>
    </w:p>
    <w:p>
      <w:pPr>
        <w:pStyle w:val="ListeParagraf"/>
        <w:numPr>
          <w:ilvl w:val="0"/>
          <w:numId w:val="1"/>
        </w:numPr>
        <w:spacing w:after="60"/>
        <w:jc w:val="both"/>
      </w:pPr>
      <w:r>
        <w:rPr>
          <w:rFonts w:ascii="Calibri" w:hAnsi="Calibri" w:cs="Arial"/>
          <w:sz w:val="24"/>
          <w:szCs w:val="24"/>
        </w:rPr>
        <w:t xml:space="preserve">EMS.QA.FRM.07.19. İplik Muayene Giriş Kontrol ve Tedarikçi Değerlendirme Formu</w:t>
      </w:r>
    </w:p>
    <w:p>
      <w:pPr>
        <w:pStyle w:val="ListeParagraf"/>
        <w:numPr>
          <w:ilvl w:val="0"/>
          <w:numId w:val="1"/>
        </w:numPr>
        <w:spacing w:after="60"/>
        <w:jc w:val="both"/>
      </w:pPr>
      <w:r>
        <w:rPr>
          <w:rFonts w:ascii="Calibri" w:hAnsi="Calibri" w:cs="Arial"/>
          <w:sz w:val="24"/>
          <w:szCs w:val="24"/>
        </w:rPr>
        <w:t xml:space="preserve">Tedarikçi DÖF Talep Formu (EMS.SA.FRM.04.06) ve Tedarikçi Düzeltici Faaliyet Planları</w:t>
      </w:r>
    </w:p>
    <w:p>
      <w:pPr>
        <w:pStyle w:val="ListeParagraf"/>
        <w:numPr>
          <w:ilvl w:val="0"/>
          <w:numId w:val="1"/>
        </w:numPr>
        <w:spacing w:after="60"/>
        <w:jc w:val="both"/>
      </w:pPr>
      <w:r>
        <w:rPr>
          <w:rFonts w:ascii="Calibri" w:hAnsi="Calibri" w:cs="Arial"/>
          <w:sz w:val="24"/>
          <w:szCs w:val="24"/>
        </w:rPr>
        <w:t xml:space="preserve">Tedarikçi Davranış Kuralları ve Rüşvet Karşıtı Beyanlar</w:t>
      </w:r>
    </w:p>
    <w:p>
      <w:pPr>
        <w:pStyle w:val="ListeParagraf"/>
        <w:numPr>
          <w:ilvl w:val="0"/>
          <w:numId w:val="1"/>
        </w:numPr>
        <w:spacing w:after="60"/>
        <w:jc w:val="both"/>
      </w:pPr>
      <w:r>
        <w:rPr>
          <w:rFonts w:ascii="Calibri" w:hAnsi="Calibri" w:cs="Arial"/>
          <w:sz w:val="24"/>
          <w:szCs w:val="24"/>
        </w:rPr>
        <w:t xml:space="preserve">EMS.SA.PRO.04.03 Tedarikçi Seçimi ve Değerlendirme Prosedürü; EMS.SA.PRO.04.03 Tedarikçi Yönetimi Prosedürü</w:t>
      </w:r>
    </w:p>
    <w:p>
      <w:pPr>
        <w:pStyle w:val="ListeParagraf"/>
        <w:numPr>
          <w:ilvl w:val="0"/>
          <w:numId w:val="1"/>
        </w:numPr>
        <w:spacing w:after="60"/>
        <w:jc w:val="both"/>
      </w:pPr>
      <w:r>
        <w:rPr>
          <w:rFonts w:ascii="Calibri" w:hAnsi="Calibri" w:cs="Arial"/>
          <w:sz w:val="24"/>
          <w:szCs w:val="24"/>
        </w:rPr>
        <w:t xml:space="preserve">EMS.SA.TL.04.01, EMS.SA.TL.04.01, EMS.SA.TL.04.01, EMS.SA.TL.04.01, EMS.SA.TL.04.01</w:t>
      </w:r>
    </w:p>
    <w:p>
      <w:pPr>
        <w:pStyle w:val="ListeParagraf"/>
        <w:numPr>
          <w:ilvl w:val="0"/>
          <w:numId w:val="1"/>
        </w:numPr>
        <w:spacing w:after="60"/>
        <w:jc w:val="both"/>
      </w:pPr>
      <w:r>
        <w:rPr>
          <w:rFonts w:ascii="Calibri" w:hAnsi="Calibri" w:cs="Arial"/>
          <w:sz w:val="24"/>
          <w:szCs w:val="24"/>
        </w:rPr>
        <w:t xml:space="preserve">EMS.SA.POL.04.01. Satın Alma Politikası</w:t>
      </w:r>
    </w:p>
    <w:p>
      <w:pPr>
        <w:pStyle w:val="ListeParagraf"/>
        <w:numPr>
          <w:ilvl w:val="0"/>
          <w:numId w:val="1"/>
        </w:numPr>
        <w:spacing w:after="60"/>
        <w:jc w:val="both"/>
      </w:pPr>
      <w:r>
        <w:rPr>
          <w:rFonts w:ascii="Calibri" w:hAnsi="Calibri" w:cs="Arial"/>
          <w:sz w:val="24"/>
          <w:szCs w:val="24"/>
        </w:rPr>
        <w:t xml:space="preserve">EMS.SA.PRO.04.02. Satın Alma Prosedürü</w:t>
      </w:r>
    </w:p>
    <w:p>
      <w:pPr>
        <w:pStyle w:val="ListeParagraf"/>
        <w:numPr>
          <w:ilvl w:val="0"/>
          <w:numId w:val="1"/>
        </w:numPr>
        <w:spacing w:after="60"/>
        <w:jc w:val="both"/>
      </w:pPr>
      <w:r>
        <w:rPr>
          <w:rFonts w:ascii="Calibri" w:hAnsi="Calibri" w:cs="Arial"/>
          <w:sz w:val="24"/>
          <w:szCs w:val="24"/>
        </w:rPr>
        <w:t xml:space="preserve">EMS.SA.PRO.04.04. Fason (Dış Kaynaklı) Süreç Kontrol Prosedürü</w:t>
      </w:r>
    </w:p>
    <w:p>
      <w:pPr>
        <w:pStyle w:val="ListeParagraf"/>
        <w:numPr>
          <w:ilvl w:val="0"/>
          <w:numId w:val="1"/>
        </w:numPr>
        <w:spacing w:after="60"/>
        <w:jc w:val="both"/>
      </w:pPr>
      <w:r>
        <w:rPr>
          <w:rFonts w:ascii="Calibri" w:hAnsi="Calibri" w:cs="Arial"/>
          <w:sz w:val="24"/>
          <w:szCs w:val="24"/>
        </w:rPr>
        <w:t xml:space="preserve">EMS.KM.PRO.20.04. Kimyasal Satın Alma Prosedürü</w:t>
      </w:r>
    </w:p>
    <w:p>
      <w:pPr>
        <w:pStyle w:val="ListeParagraf"/>
        <w:numPr>
          <w:ilvl w:val="0"/>
          <w:numId w:val="1"/>
        </w:numPr>
        <w:spacing w:after="60"/>
        <w:jc w:val="both"/>
      </w:pPr>
      <w:r>
        <w:rPr>
          <w:rFonts w:ascii="Calibri" w:hAnsi="Calibri" w:cs="Arial"/>
          <w:sz w:val="24"/>
          <w:szCs w:val="24"/>
        </w:rPr>
        <w:t xml:space="preserve">EMS.QA.PRO.02.09. Kalite Muayene Prosedürü (Giriş, Hat İçi, Final AQL)</w:t>
      </w:r>
    </w:p>
    <w:p>
      <w:pPr>
        <w:pStyle w:val="ListeParagraf"/>
        <w:numPr>
          <w:ilvl w:val="0"/>
          <w:numId w:val="1"/>
        </w:numPr>
        <w:spacing w:after="60"/>
        <w:jc w:val="both"/>
      </w:pPr>
      <w:r>
        <w:rPr>
          <w:rFonts w:ascii="Calibri" w:hAnsi="Calibri" w:cs="Arial"/>
          <w:sz w:val="24"/>
          <w:szCs w:val="24"/>
        </w:rPr>
        <w:t xml:space="preserve">EMS.KS.PRO.22.02. Uygun Olmayan Ürün Kontrol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numPr>
          <w:ilvl w:val="0"/>
          <w:numId w:val="1"/>
        </w:numPr>
        <w:spacing w:after="60"/>
        <w:jc w:val="both"/>
      </w:pPr>
      <w:r>
        <w:rPr>
          <w:rFonts w:ascii="Calibri" w:hAnsi="Calibri" w:cs="Arial"/>
          <w:sz w:val="24"/>
          <w:szCs w:val="24"/>
        </w:rPr>
        <w:t xml:space="preserve">EMS.İK.PRO.01.05. Rüşvet ve Yolsuzlukla Mücadele Prosedürü</w:t>
      </w:r>
    </w:p>
    <w:p>
      <w:pPr>
        <w:pStyle w:val="ListeParagraf"/>
        <w:numPr>
          <w:ilvl w:val="0"/>
          <w:numId w:val="1"/>
        </w:numPr>
        <w:spacing w:after="60"/>
        <w:jc w:val="both"/>
      </w:pPr>
      <w:r>
        <w:rPr>
          <w:rFonts w:ascii="Calibri" w:hAnsi="Calibri" w:cs="Arial"/>
          <w:sz w:val="24"/>
          <w:szCs w:val="24"/>
        </w:rPr>
        <w:t xml:space="preserve">EMS.SR.PRO.16.03. Hammaddelerin Sorumlu Tedariki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GERİ BİLDİRİM VE TAKİP</w:t>
      </w:r>
    </w:p>
    <w:p>
      <w:pPr>
        <w:pStyle w:val="ListeParagraf"/>
        <w:spacing w:after="80"/>
        <w:ind w:left="709" w:right="0"/>
        <w:jc w:val="both"/>
      </w:pPr>
      <w:r>
        <w:rPr>
          <w:rFonts w:ascii="Calibri" w:hAnsi="Calibri" w:cs="Arial"/>
          <w:sz w:val="24"/>
          <w:szCs w:val="24"/>
        </w:rPr>
        <w:t xml:space="preserve">Bu prosedür Satın Alma Müdürü tarafından Kalite Güvence ve CSR ekibi ile birlikte her yıl gözden geçirilir. Denetim sonuçları, müşteri şartları ve tedarikçi geri bildirimleri değerlendirilir ve gerekirse prosedür revize edilir. Kayıtlar üç yıl saklanır.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w:t>
      </w:r>
    </w:p>
    <w:p>
      <w:pPr>
        <w:pStyle w:val="ListeParagraf"/>
        <w:spacing w:before="40" w:after="0"/>
        <w:ind w:left="709"/>
      </w:pPr>
      <w:r>
        <w:rPr>
          <w:rFonts w:ascii="Calibri" w:hAnsi="Calibri" w:cs="Calibri"/>
          <w:b/>
          <w:bCs/>
          <w:sz w:val="20"/>
          <w:szCs w:val="20"/>
        </w:rPr>
        <w:t xml:space="preserve">Kontrol: Satın Alma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TEDARİKÇİ VE TAŞERON DEĞERLENDİRME PROSEDÜRÜ</w:t>
          </w:r>
        </w:p>
        <w:p>
          <w:pPr>
            <w:pStyle w:val="GvdeMetni2"/>
            <w:bidi/>
            <w:spacing w:line="276" w:lineRule="auto"/>
            <w:jc w:val="center"/>
          </w:pPr>
          <w:r>
            <w:rPr>
              <w:rFonts w:asciiTheme="minorHAnsi" w:hAnsiTheme="minorHAnsi" w:cs="Arial"/>
              <w:b/>
              <w:bCs/>
              <w:color w:val="000000" w:themeColor="text1"/>
              <w:sz w:val="22"/>
              <w:szCs w:val="22"/>
              <w:rtl/>
            </w:rPr>
            <w:t>SUPPLIER AND SUBCONTRACTOR EVALUATION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EMS.SA.PRO.04.03.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EMS.SA.PRO.04.03. SUPPLIER AND SUBCONTRACTOR EVALUATION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