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AMAÇ</w:t>
      </w:r>
    </w:p>
    <w:p>
      <w:pPr>
        <w:pStyle w:val="ListeParagraf"/>
        <w:spacing w:after="80"/>
        <w:ind w:left="709" w:right="0"/>
        <w:jc w:val="both"/>
      </w:pPr>
      <w:r>
        <w:rPr>
          <w:rFonts w:ascii="Calibri" w:hAnsi="Calibri" w:cs="Arial"/>
          <w:sz w:val="24"/>
          <w:szCs w:val="24"/>
        </w:rPr>
        <w:t xml:space="preserve">Bu politika, Eroglu Knitting (EMS) olarak müşteri ve yasal şartları karşılamak, insanları ve çevreyi korumak ve performansı sürekli iyileştirmek için kalite, çevre ve iş sağlığı ve güvenliği alanında entegre bir yönetim sistemi işletme taahhüdümüzü ortaya koyar.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KAPSAM</w:t>
      </w:r>
    </w:p>
    <w:p>
      <w:pPr>
        <w:pStyle w:val="ListeParagraf"/>
        <w:spacing w:after="80"/>
        <w:ind w:left="709" w:right="0"/>
        <w:jc w:val="both"/>
      </w:pPr>
      <w:r>
        <w:rPr>
          <w:rFonts w:ascii="Calibri" w:hAnsi="Calibri" w:cs="Arial"/>
          <w:sz w:val="24"/>
          <w:szCs w:val="24"/>
        </w:rPr>
        <w:t xml:space="preserve">Bu politika şunları kapsar:</w:t>
      </w:r>
    </w:p>
    <w:p>
      <w:pPr>
        <w:pStyle w:val="ListeParagraf"/>
        <w:spacing w:after="80"/>
        <w:ind w:left="709" w:right="0"/>
        <w:jc w:val="both"/>
      </w:pPr>
      <w:r>
        <w:rPr>
          <w:rFonts w:ascii="Calibri" w:hAnsi="Calibri" w:cs="Arial"/>
          <w:sz w:val="24"/>
          <w:szCs w:val="24"/>
        </w:rPr>
        <w:t xml:space="preserve">• İsmailiye'deki entegre örme giysi fabrikasının tüm prosesleri: örme, boya ve terbiye, kesim, dikim, baskı, nakış ve paketleme,</w:t>
      </w:r>
    </w:p>
    <w:p>
      <w:pPr>
        <w:pStyle w:val="ListeParagraf"/>
        <w:spacing w:after="80"/>
        <w:ind w:left="709" w:right="0"/>
        <w:jc w:val="both"/>
      </w:pPr>
      <w:r>
        <w:rPr>
          <w:rFonts w:ascii="Calibri" w:hAnsi="Calibri" w:cs="Arial"/>
          <w:sz w:val="24"/>
          <w:szCs w:val="24"/>
        </w:rPr>
        <w:t xml:space="preserve">• Destek prosesleri: satın alma, depo ve lojistik, bakım, laboratuvar, insan kaynakları, bilgi teknolojisi ve idari işler,</w:t>
      </w:r>
    </w:p>
    <w:p>
      <w:pPr>
        <w:pStyle w:val="ListeParagraf"/>
        <w:spacing w:after="80"/>
        <w:ind w:left="709" w:right="0"/>
        <w:jc w:val="both"/>
      </w:pPr>
      <w:r>
        <w:rPr>
          <w:rFonts w:ascii="Calibri" w:hAnsi="Calibri" w:cs="Arial"/>
          <w:sz w:val="24"/>
          <w:szCs w:val="24"/>
        </w:rPr>
        <w:t xml:space="preserve">• ISO 9001, ISO 14001 ve ISO 45001 standartları ile sosyal uyum, kimyasal yönetimi ve müşteri şartları.</w:t>
      </w:r>
    </w:p>
    <w:p>
      <w:pPr>
        <w:pStyle w:val="ListeParagraf"/>
        <w:spacing w:after="80"/>
        <w:ind w:left="709" w:right="0"/>
        <w:jc w:val="both"/>
      </w:pPr>
      <w:r>
        <w:rPr>
          <w:rFonts w:ascii="Calibri" w:hAnsi="Calibri" w:cs="Arial"/>
          <w:sz w:val="24"/>
          <w:szCs w:val="24"/>
        </w:rPr>
        <w:t xml:space="preserve">Tüm EMS çalışanları için geçerlidir; şartları, ilgili olduğunda tedarikçilere, taşeronlara ve yüklenicilere iletilir.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SORUMLULUKLAR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Genel Müdür:</w:t>
      </w:r>
      <w:r>
        <w:rPr>
          <w:rFonts w:ascii="Calibri" w:hAnsi="Calibri" w:cs="Arial"/>
          <w:sz w:val="24"/>
          <w:szCs w:val="24"/>
        </w:rPr>
        <w:t xml:space="preserve"> Sistemin genel sorumluluğunu üstlenir, politika ve hedefleri onaylar ve gerekli kaynakları sağlar.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Yönetim Sistemi Koordinatörü:</w:t>
      </w:r>
      <w:r>
        <w:rPr>
          <w:rFonts w:ascii="Calibri" w:hAnsi="Calibri" w:cs="Arial"/>
          <w:sz w:val="24"/>
          <w:szCs w:val="24"/>
        </w:rPr>
        <w:t xml:space="preserve"> Sistemi koordine eder, dokümanları kontrol eder, iç denetimleri planlar ve yönetimin gözden geçirmesini hazırlar.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Bölüm Müdürleri:</w:t>
      </w:r>
      <w:r>
        <w:rPr>
          <w:rFonts w:ascii="Calibri" w:hAnsi="Calibri" w:cs="Arial"/>
          <w:sz w:val="24"/>
          <w:szCs w:val="24"/>
        </w:rPr>
        <w:t xml:space="preserve"> Sistemi proseslerinde uygular, bölüm hedeflerini belirler ve takip eder ve gerekli kayıtları tutar.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Çalışanlar:</w:t>
      </w:r>
      <w:r>
        <w:rPr>
          <w:rFonts w:ascii="Calibri" w:hAnsi="Calibri" w:cs="Arial"/>
          <w:sz w:val="24"/>
          <w:szCs w:val="24"/>
        </w:rPr>
        <w:t xml:space="preserve"> Prosedür ve talimatlara uyar, uygunsuzlukları, tehlikeleri ve önerileri bildirir ve iyileştirme faaliyetlerine katılır.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TANIMLAR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Entegre Yönetim Sistemi (EYS):</w:t>
      </w:r>
      <w:r>
        <w:rPr>
          <w:rFonts w:ascii="Calibri" w:hAnsi="Calibri" w:cs="Arial"/>
          <w:sz w:val="24"/>
          <w:szCs w:val="24"/>
        </w:rPr>
        <w:t xml:space="preserve"> ISO 9001, ISO 14001 ve ISO 45001'in kalite, çevre ve İSG şartlarını birleştiren tek yönetim sistemi.</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İlgili Taraflar:</w:t>
      </w:r>
      <w:r>
        <w:rPr>
          <w:rFonts w:ascii="Calibri" w:hAnsi="Calibri" w:cs="Arial"/>
          <w:sz w:val="24"/>
          <w:szCs w:val="24"/>
        </w:rPr>
        <w:t xml:space="preserve"> EMS faaliyetlerini etkileyebilecek veya bunlardan etkilenebilecek müşteriler, çalışanlar, yetkililer, tedarikçiler ve yerel topluluk gibi kişi veya kuruluşlar.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Sürekli İyileştirme:</w:t>
      </w:r>
      <w:r>
        <w:rPr>
          <w:rFonts w:ascii="Calibri" w:hAnsi="Calibri" w:cs="Arial"/>
          <w:sz w:val="24"/>
          <w:szCs w:val="24"/>
        </w:rPr>
        <w:t xml:space="preserve"> Veri, denetimler ve PDCA (Planla-Uygula-Kontrol Et-Önlem Al) döngüsüne dayalı, performansı artırmak için yinelenen faaliyet.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POLİTİKA TAAHHÜTLERİ</w:t>
      </w:r>
    </w:p>
    <w:p>
      <w:pPr>
        <w:pStyle w:val="ListeParagraf"/>
        <w:spacing w:before="120" w:after="60"/>
        <w:ind w:left="709" w:right="0"/>
      </w:pPr>
      <w:r>
        <w:rPr>
          <w:rFonts w:ascii="Calibri" w:hAnsi="Calibri" w:cs="Arial"/>
          <w:b/>
          <w:bCs/>
          <w:sz w:val="24"/>
          <w:szCs w:val="24"/>
        </w:rPr>
        <w:t xml:space="preserve">1. TAAHHÜTLERİMİZ</w:t>
      </w:r>
    </w:p>
    <w:p>
      <w:pPr>
        <w:pStyle w:val="ListeParagraf"/>
        <w:spacing w:after="80"/>
        <w:ind w:left="709" w:right="0"/>
        <w:jc w:val="both"/>
      </w:pPr>
      <w:r>
        <w:rPr>
          <w:rFonts w:ascii="Calibri" w:hAnsi="Calibri" w:cs="Arial"/>
          <w:sz w:val="24"/>
          <w:szCs w:val="24"/>
        </w:rPr>
        <w:t xml:space="preserve">1.1. EMS şunları taahhüt eder:</w:t>
      </w:r>
    </w:p>
    <w:p>
      <w:pPr>
        <w:pStyle w:val="ListeParagraf"/>
        <w:numPr>
          <w:ilvl w:val="0"/>
          <w:numId w:val="1"/>
        </w:numPr>
        <w:spacing w:after="60"/>
        <w:jc w:val="both"/>
      </w:pPr>
      <w:r>
        <w:rPr>
          <w:rFonts w:ascii="Calibri" w:hAnsi="Calibri" w:cs="Arial"/>
          <w:sz w:val="24"/>
          <w:szCs w:val="24"/>
        </w:rPr>
        <w:t xml:space="preserve">Müşteri şartnamelerini, kalite beklentilerini ve teslim tarihlerini karşılayan ürünler sunmak ve müşteri memnuniyetini artırmak.</w:t>
      </w:r>
    </w:p>
    <w:p>
      <w:pPr>
        <w:pStyle w:val="ListeParagraf"/>
        <w:numPr>
          <w:ilvl w:val="0"/>
          <w:numId w:val="1"/>
        </w:numPr>
        <w:spacing w:after="60"/>
        <w:jc w:val="both"/>
      </w:pPr>
      <w:r>
        <w:rPr>
          <w:rFonts w:ascii="Calibri" w:hAnsi="Calibri" w:cs="Arial"/>
          <w:sz w:val="24"/>
          <w:szCs w:val="24"/>
        </w:rPr>
        <w:t xml:space="preserve">Geçerli Mısır mevzuatına, müşteri davranış kurallarına ve EMS'nin taraf olduğu diğer şartlara uymak.</w:t>
      </w:r>
    </w:p>
    <w:p>
      <w:pPr>
        <w:pStyle w:val="ListeParagraf"/>
        <w:numPr>
          <w:ilvl w:val="0"/>
          <w:numId w:val="1"/>
        </w:numPr>
        <w:spacing w:after="60"/>
        <w:jc w:val="both"/>
      </w:pPr>
      <w:r>
        <w:rPr>
          <w:rFonts w:ascii="Calibri" w:hAnsi="Calibri" w:cs="Arial"/>
          <w:sz w:val="24"/>
          <w:szCs w:val="24"/>
        </w:rPr>
        <w:t xml:space="preserve">Güvenli ve sağlıklı çalışma koşulları sağlamak, tehlikeleri ortadan kaldırmak, İSG risklerini azaltmak ve çalışanlara ve temsilcilerine danışmak ve onları katmak.</w:t>
      </w:r>
    </w:p>
    <w:p>
      <w:pPr>
        <w:pStyle w:val="ListeParagraf"/>
        <w:numPr>
          <w:ilvl w:val="0"/>
          <w:numId w:val="1"/>
        </w:numPr>
        <w:spacing w:after="60"/>
        <w:jc w:val="both"/>
      </w:pPr>
      <w:r>
        <w:rPr>
          <w:rFonts w:ascii="Calibri" w:hAnsi="Calibri" w:cs="Arial"/>
          <w:sz w:val="24"/>
          <w:szCs w:val="24"/>
        </w:rPr>
        <w:t xml:space="preserve">Enerji, su ve kimyasal kullanımını azaltarak, atık ve atıksuyu sorumlu şekilde yöneterek çevreyi korumak ve kirliliği önlemek.</w:t>
      </w:r>
    </w:p>
    <w:p>
      <w:pPr>
        <w:pStyle w:val="ListeParagraf"/>
        <w:numPr>
          <w:ilvl w:val="0"/>
          <w:numId w:val="1"/>
        </w:numPr>
        <w:spacing w:after="60"/>
        <w:jc w:val="both"/>
      </w:pPr>
      <w:r>
        <w:rPr>
          <w:rFonts w:ascii="Calibri" w:hAnsi="Calibri" w:cs="Arial"/>
          <w:sz w:val="24"/>
          <w:szCs w:val="24"/>
        </w:rPr>
        <w:t xml:space="preserve">İlgili fonksiyon ve seviyelerde ölçülebilir hedefler belirlemek, izlemek ve yönetimin gözden geçirmesinde gözden geçirmek.</w:t>
      </w:r>
    </w:p>
    <w:p>
      <w:pPr>
        <w:pStyle w:val="ListeParagraf"/>
        <w:numPr>
          <w:ilvl w:val="0"/>
          <w:numId w:val="1"/>
        </w:numPr>
        <w:spacing w:after="60"/>
        <w:jc w:val="both"/>
      </w:pPr>
      <w:r>
        <w:rPr>
          <w:rFonts w:ascii="Calibri" w:hAnsi="Calibri" w:cs="Arial"/>
          <w:sz w:val="24"/>
          <w:szCs w:val="24"/>
        </w:rPr>
        <w:t xml:space="preserve">Tüm proseslerde riske dayalı yaklaşım uygulamak ve ilgili tarafların ihtiyaçlarını dikkate almak.</w:t>
      </w:r>
    </w:p>
    <w:p>
      <w:pPr>
        <w:pStyle w:val="ListeParagraf"/>
        <w:numPr>
          <w:ilvl w:val="0"/>
          <w:numId w:val="1"/>
        </w:numPr>
        <w:spacing w:after="60"/>
        <w:jc w:val="both"/>
      </w:pPr>
      <w:r>
        <w:rPr>
          <w:rFonts w:ascii="Calibri" w:hAnsi="Calibri" w:cs="Arial"/>
          <w:sz w:val="24"/>
          <w:szCs w:val="24"/>
        </w:rPr>
        <w:t xml:space="preserve">Her çalışanın sistemdeki rolünü anlaması için eğitim ve yetkinlik gelişimi sağlamak.</w:t>
      </w:r>
    </w:p>
    <w:p>
      <w:pPr>
        <w:pStyle w:val="ListeParagraf"/>
        <w:numPr>
          <w:ilvl w:val="0"/>
          <w:numId w:val="1"/>
        </w:numPr>
        <w:spacing w:after="60"/>
        <w:jc w:val="both"/>
      </w:pPr>
      <w:r>
        <w:rPr>
          <w:rFonts w:ascii="Calibri" w:hAnsi="Calibri" w:cs="Arial"/>
          <w:sz w:val="24"/>
          <w:szCs w:val="24"/>
        </w:rPr>
        <w:t xml:space="preserve">Entegre yönetim sisteminin etkinliğini sürekli iyileştirmek.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GÖZDEN GEÇİRME</w:t>
      </w:r>
    </w:p>
    <w:p>
      <w:pPr>
        <w:pStyle w:val="ListeParagraf"/>
        <w:spacing w:after="80"/>
        <w:ind w:left="709" w:right="0"/>
        <w:jc w:val="both"/>
      </w:pPr>
      <w:r>
        <w:rPr>
          <w:rFonts w:ascii="Calibri" w:hAnsi="Calibri" w:cs="Arial"/>
          <w:sz w:val="24"/>
          <w:szCs w:val="24"/>
        </w:rPr>
        <w:t xml:space="preserve">Bu politika her yıl yönetimin gözden geçirmesinde veya kurumda, bağlamında veya yasal şartlarda önemli bir değişiklik olduğunda daha erken gözden geçirilir. Tüm çalışanlara duyurulur, Arapça ve İngilizce olarak asılır ve talep halinde ilgili taraflara sunulur.</w:t>
      </w:r>
    </w:p>
    <w:p>
      <w:r>
        <w:br w:type="page"/>
      </w:r>
    </w:p>
    <w:p/>
    <w:p w14:paraId="09C717F6" w14:textId="77777777" w:rsidR="00492105" w:rsidRDefault="00492105" w:rsidP="00E34A01">
      <w:pPr>
        <w:pStyle w:val="ListeParagraf"/>
        <w:ind w:left="709"/>
        <w:rPr>
          <w:rFonts w:ascii="Calibri" w:hAnsi="Calibri" w:cs="Calibri"/>
          <w:sz w:val="24"/>
          <w:szCs w:val="24"/>
        </w:rPr>
      </w:pPr>
    </w:p>
    <w:p>
      <w:pPr>
        <w:jc w:val="center"/>
      </w:pPr>
      <w:r>
        <w:rPr>
          <w:i/>
          <w:sz w:val="16"/>
          <w:color w:val="666666"/>
        </w:rPr>
        <w:t>Bu belge resmî EN+AR belgenin Türkçe çevirisidir; çelişki hâlinde resmî belge geçerlidir.</w:t>
      </w: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ENTEGRE YÖNETİM SİSTEMİ POLİTİKASI</w:t>
          </w:r>
        </w:p>
        <w:p>
          <w:pPr>
            <w:pStyle w:val="GvdeMetni2"/>
            <w:bidi/>
            <w:spacing w:line="276" w:lineRule="auto"/>
            <w:jc w:val="center"/>
          </w:pPr>
          <w:r>
            <w:rPr>
              <w:rFonts w:asciiTheme="minorHAnsi" w:hAnsiTheme="minorHAnsi" w:cs="Arial"/>
              <w:b/>
              <w:bCs/>
              <w:color w:val="000000" w:themeColor="text1"/>
              <w:sz w:val="22"/>
              <w:szCs w:val="22"/>
              <w:rtl/>
            </w:rPr>
            <w:t>INTEGRATED MANAGEMENT SYSTEM POLICY</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EMS.YS.POL.11.01.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EMS.YS.POL.11.01. INTEGRATED MANAGEMENT SYSTEM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