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sludge from the effluent treatment plant (ETP) of Eroglu Knitting (EMS) is removed, dewatered, stored, recorded and handed over for disposal, in order to prevent soil and water pollution, protect workers and comply with applicable Egyptian legislation and customer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excess biological sludge and chemical (physico-chemical) sludge from the ETP, the sludge thickener, the filter press or other dewatering unit and the sludge storage area, and to ETP operators and waste handling staff.</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Supervisor:</w:t>
      </w:r>
      <w:r>
        <w:rPr>
          <w:rFonts w:ascii="Calibri" w:hAnsi="Calibri" w:cs="Arial"/>
          <w:sz w:val="24"/>
          <w:szCs w:val="24"/>
        </w:rPr>
        <w:t xml:space="preserve"> Decides the amount and frequency of sludge removal and checks the dewatering and storage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Operator:</w:t>
      </w:r>
      <w:r>
        <w:rPr>
          <w:rFonts w:ascii="Calibri" w:hAnsi="Calibri" w:cs="Arial"/>
          <w:sz w:val="24"/>
          <w:szCs w:val="24"/>
        </w:rPr>
        <w:t xml:space="preserve"> Operates the dewatering unit, fills and labels the sludge bags or containers and keeps the sludge log.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Manager:</w:t>
      </w:r>
      <w:r>
        <w:rPr>
          <w:rFonts w:ascii="Calibri" w:hAnsi="Calibri" w:cs="Arial"/>
          <w:sz w:val="24"/>
          <w:szCs w:val="24"/>
        </w:rPr>
        <w:t xml:space="preserve"> Arranges sludge testing and disposal through licensed contractors and keeps the waste transfer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Checks PPE use and safe working conditions in the dewatering and storage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SLUDGE REMOVAL AND DEWATERING</w:t>
      </w:r>
    </w:p>
    <w:p>
      <w:pPr>
        <w:pStyle w:val="ListeParagraf"/>
        <w:spacing w:after="80"/>
        <w:ind w:left="709" w:right="0"/>
        <w:jc w:val="both"/>
      </w:pPr>
      <w:r>
        <w:rPr>
          <w:rFonts w:ascii="Calibri" w:hAnsi="Calibri" w:cs="Arial"/>
          <w:sz w:val="24"/>
          <w:szCs w:val="24"/>
        </w:rPr>
        <w:t xml:space="preserve">1.1. Remove excess sludge from the clarifier or thickener as instructed by the ETP Supervisor, based on the SV30 test and sludge level in the clarifier.</w:t>
      </w:r>
    </w:p>
    <w:p>
      <w:pPr>
        <w:pStyle w:val="ListeParagraf"/>
        <w:spacing w:after="80"/>
        <w:ind w:left="709" w:right="0"/>
        <w:jc w:val="both"/>
      </w:pPr>
      <w:r>
        <w:rPr>
          <w:rFonts w:ascii="Calibri" w:hAnsi="Calibri" w:cs="Arial"/>
          <w:sz w:val="24"/>
          <w:szCs w:val="24"/>
        </w:rPr>
        <w:t xml:space="preserve">1.2. Prepare the polymer solution as specified by the supplier's technical data sheet and the ETP Supervisor's instruction, and dose it at the set rate.</w:t>
      </w:r>
    </w:p>
    <w:p>
      <w:pPr>
        <w:pStyle w:val="ListeParagraf"/>
        <w:spacing w:after="80"/>
        <w:ind w:left="709" w:right="0"/>
        <w:jc w:val="both"/>
      </w:pPr>
      <w:r>
        <w:rPr>
          <w:rFonts w:ascii="Calibri" w:hAnsi="Calibri" w:cs="Arial"/>
          <w:sz w:val="24"/>
          <w:szCs w:val="24"/>
        </w:rPr>
        <w:t xml:space="preserve">1.3. Operate the filter press or dewatering unit according to the manufacturer's manual; check that the filter cloths are clean and not torn and that the filtrate returns to the ETP inlet.</w:t>
      </w:r>
    </w:p>
    <w:p>
      <w:pPr>
        <w:pStyle w:val="ListeParagraf"/>
        <w:spacing w:after="80"/>
        <w:ind w:left="709" w:right="0"/>
        <w:jc w:val="both"/>
      </w:pPr>
      <w:r>
        <w:rPr>
          <w:rFonts w:ascii="Calibri" w:hAnsi="Calibri" w:cs="Arial"/>
          <w:sz w:val="24"/>
          <w:szCs w:val="24"/>
        </w:rPr>
        <w:t xml:space="preserve">1.4. Check that the sludge cake is dry enough (no free water) before bagging; if not, inform the ETP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PACKING, LABELLING AND STORAGE</w:t>
      </w:r>
    </w:p>
    <w:p>
      <w:pPr>
        <w:pStyle w:val="ListeParagraf"/>
        <w:spacing w:after="80"/>
        <w:ind w:left="709" w:right="0"/>
        <w:jc w:val="both"/>
      </w:pPr>
      <w:r>
        <w:rPr>
          <w:rFonts w:ascii="Calibri" w:hAnsi="Calibri" w:cs="Arial"/>
          <w:sz w:val="24"/>
          <w:szCs w:val="24"/>
        </w:rPr>
        <w:t xml:space="preserve">2.1. Fill the dewatered sludge into strong, closed bags or containers and label each with “ETP Sludge”, date, approximate weight and the hazard status determined by testing.</w:t>
      </w:r>
    </w:p>
    <w:p>
      <w:pPr>
        <w:pStyle w:val="ListeParagraf"/>
        <w:spacing w:after="80"/>
        <w:ind w:left="709" w:right="0"/>
        <w:jc w:val="both"/>
      </w:pPr>
      <w:r>
        <w:rPr>
          <w:rFonts w:ascii="Calibri" w:hAnsi="Calibri" w:cs="Arial"/>
          <w:sz w:val="24"/>
          <w:szCs w:val="24"/>
        </w:rPr>
        <w:t xml:space="preserve">2.2. Store the sludge only in the designated sludge storage area, which is roofed, has an impermeable floor and bund, drains back to the ETP and is protected from rain and wind.</w:t>
      </w:r>
    </w:p>
    <w:p>
      <w:pPr>
        <w:pStyle w:val="ListeParagraf"/>
        <w:spacing w:after="80"/>
        <w:ind w:left="709" w:right="0"/>
        <w:jc w:val="both"/>
      </w:pPr>
      <w:r>
        <w:rPr>
          <w:rFonts w:ascii="Calibri" w:hAnsi="Calibri" w:cs="Arial"/>
          <w:sz w:val="24"/>
          <w:szCs w:val="24"/>
        </w:rPr>
        <w:t xml:space="preserve">2.3. Weigh or estimate each batch and record the quantity in the sludge log; keep the area clean and spilled sludge collected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TESTING AND DISPOSAL</w:t>
      </w:r>
    </w:p>
    <w:p>
      <w:pPr>
        <w:pStyle w:val="ListeParagraf"/>
        <w:spacing w:after="80"/>
        <w:ind w:left="709" w:right="0"/>
        <w:jc w:val="both"/>
      </w:pPr>
      <w:r>
        <w:rPr>
          <w:rFonts w:ascii="Calibri" w:hAnsi="Calibri" w:cs="Arial"/>
          <w:sz w:val="24"/>
          <w:szCs w:val="24"/>
        </w:rPr>
        <w:t xml:space="preserve">3.1. The Environmental Manager arranges sludge testing by an accredited external laboratory at least twice a year (including heavy metals and ZDHC parameters when required by customers) to determine its classification.</w:t>
      </w:r>
    </w:p>
    <w:p>
      <w:pPr>
        <w:pStyle w:val="ListeParagraf"/>
        <w:spacing w:after="80"/>
        <w:ind w:left="709" w:right="0"/>
        <w:jc w:val="both"/>
      </w:pPr>
      <w:r>
        <w:rPr>
          <w:rFonts w:ascii="Calibri" w:hAnsi="Calibri" w:cs="Arial"/>
          <w:sz w:val="24"/>
          <w:szCs w:val="24"/>
        </w:rPr>
        <w:t xml:space="preserve">3.2. Hand over sludge only to waste contractors licensed for that waste class; check the vehicle and the contractor's licence and sign the waste transfer document for every shipment.</w:t>
      </w:r>
    </w:p>
    <w:p>
      <w:pPr>
        <w:pStyle w:val="ListeParagraf"/>
        <w:spacing w:after="80"/>
        <w:ind w:left="709" w:right="0"/>
        <w:jc w:val="both"/>
      </w:pPr>
      <w:r>
        <w:rPr>
          <w:rFonts w:ascii="Calibri" w:hAnsi="Calibri" w:cs="Arial"/>
          <w:sz w:val="24"/>
          <w:szCs w:val="24"/>
        </w:rPr>
        <w:t xml:space="preserve">3.3. Keep the waste transfer documents and disposal certificates and reconcile the quantities with the sludge log every month.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dump sludge on open ground, mix it with domestic or textile waste, or burn it.</w:t>
      </w:r>
    </w:p>
    <w:p>
      <w:pPr>
        <w:pStyle w:val="ListeParagraf"/>
        <w:numPr>
          <w:ilvl w:val="0"/>
          <w:numId w:val="1"/>
        </w:numPr>
        <w:spacing w:after="60"/>
        <w:jc w:val="both"/>
      </w:pPr>
      <w:r>
        <w:rPr>
          <w:rFonts w:ascii="Calibri" w:hAnsi="Calibri" w:cs="Arial"/>
          <w:sz w:val="24"/>
          <w:szCs w:val="24"/>
        </w:rPr>
        <w:t xml:space="preserve">Do not store sludge outside the designated area or for longer than the period allowed by legislation and the Environmental Manager.</w:t>
      </w:r>
    </w:p>
    <w:p>
      <w:pPr>
        <w:pStyle w:val="ListeParagraf"/>
        <w:numPr>
          <w:ilvl w:val="0"/>
          <w:numId w:val="1"/>
        </w:numPr>
        <w:spacing w:after="60"/>
        <w:jc w:val="both"/>
      </w:pPr>
      <w:r>
        <w:rPr>
          <w:rFonts w:ascii="Calibri" w:hAnsi="Calibri" w:cs="Arial"/>
          <w:sz w:val="24"/>
          <w:szCs w:val="24"/>
        </w:rPr>
        <w:t xml:space="preserve">Always wear gloves, boots, an apron and safety glasses; do not reach into the filter press while it is running and apply LOTO before cleaning or repair.</w:t>
      </w:r>
    </w:p>
    <w:p>
      <w:pPr>
        <w:pStyle w:val="ListeParagraf"/>
        <w:numPr>
          <w:ilvl w:val="0"/>
          <w:numId w:val="1"/>
        </w:numPr>
        <w:spacing w:after="60"/>
        <w:jc w:val="both"/>
      </w:pPr>
      <w:r>
        <w:rPr>
          <w:rFonts w:ascii="Calibri" w:hAnsi="Calibri" w:cs="Arial"/>
          <w:sz w:val="24"/>
          <w:szCs w:val="24"/>
        </w:rPr>
        <w:t xml:space="preserve">In case of a sludge spill or bag leak, contain the spill, collect it with shovels and absorbent material, return it to the storage area and inform the ETP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EMS.ÇV.PRO.19.02. Wastewater Management and Monitoring Procedure</w:t>
      </w:r>
    </w:p>
    <w:p>
      <w:pPr>
        <w:pStyle w:val="ListeParagraf"/>
        <w:numPr>
          <w:ilvl w:val="0"/>
          <w:numId w:val="1"/>
        </w:numPr>
        <w:spacing w:after="60"/>
        <w:jc w:val="both"/>
      </w:pPr>
      <w:r>
        <w:rPr>
          <w:rFonts w:ascii="Calibri" w:hAnsi="Calibri" w:cs="Arial"/>
          <w:sz w:val="24"/>
          <w:szCs w:val="24"/>
        </w:rPr>
        <w:t xml:space="preserve">EMS.ÇV.TL.19.02. Hazardous Waste Temporary Storage Area Instruction</w:t>
      </w:r>
    </w:p>
    <w:p>
      <w:pPr>
        <w:pStyle w:val="ListeParagraf"/>
        <w:numPr>
          <w:ilvl w:val="0"/>
          <w:numId w:val="1"/>
        </w:numPr>
        <w:spacing w:after="60"/>
        <w:jc w:val="both"/>
      </w:pPr>
      <w:r>
        <w:rPr>
          <w:rFonts w:ascii="Calibri" w:hAnsi="Calibri" w:cs="Arial"/>
          <w:sz w:val="24"/>
          <w:szCs w:val="24"/>
        </w:rPr>
        <w:t xml:space="preserve">EMS.ÇV.TL.19.04. Wastewater Treatment Plant Daily Analysis Instruction</w:t>
      </w:r>
    </w:p>
    <w:p>
      <w:pPr>
        <w:pStyle w:val="ListeParagraf"/>
        <w:numPr>
          <w:ilvl w:val="0"/>
          <w:numId w:val="1"/>
        </w:numPr>
        <w:spacing w:after="60"/>
        <w:jc w:val="both"/>
      </w:pPr>
      <w:r>
        <w:rPr>
          <w:rFonts w:ascii="Calibri" w:hAnsi="Calibri" w:cs="Arial"/>
          <w:sz w:val="24"/>
          <w:szCs w:val="24"/>
        </w:rPr>
        <w:t xml:space="preserve">Sludge Log, Sludge Test Reports, Waste Transfer Documents and Contractor Licences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Environmental Manager monitors the quantity of sludge generated per m3 of treated water and per kg of production, sludge dryness, storage time and the completeness of waste transfer documents every month. This instruction is reviewed every year or after any change in the treatment process or the disposal route.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إزالة الحمأة الناتجة عن محطة معالجة مياه الصرف (ETP) في شركة إيروغلو للتريكو (EMS) ونزع المياه منها وتخزينها وتسجيلها وتسليمها للتخلص منها، وذلك لمنع تلوث التربة والمياه، وحماية العاملين، والامتثال للتشريعات المصرية المعمول بها ومتطلبات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الحمأة البيولوجية الزائدة والحمأة الكيميائية (الفيزيائية-الكيميائية) الناتجة عن محطة المعالجة، وعلى مكثف الحمأة والمكبس المرشح أو أي وحدة أخرى لنزع المياه، ومنطقة تخزين الحمأة، وعلى مشغلي المحطة وموظفي مناولة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محطة المعالجة:</w:t>
      </w:r>
      <w:r>
        <w:rPr>
          <w:rFonts w:ascii="Calibri" w:hAnsi="Calibri" w:cs="Arial"/>
          <w:rtl/>
          <w:sz w:val="24"/>
          <w:szCs w:val="24"/>
        </w:rPr>
        <w:t xml:space="preserve"> يحدد كمية الحمأة المراد إزالتها وتكرار الإزالة، ويتحقق من ظروف نزع المياه والتخزين.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محطة المعالجة:</w:t>
      </w:r>
      <w:r>
        <w:rPr>
          <w:rFonts w:ascii="Calibri" w:hAnsi="Calibri" w:cs="Arial"/>
          <w:rtl/>
          <w:sz w:val="24"/>
          <w:szCs w:val="24"/>
        </w:rPr>
        <w:t xml:space="preserve"> يشغّل وحدة نزع المياه، ويملأ أكياس أو حاويات الحمأة ويضع عليها البطاقات، ويحتفظ بسجل الحمأة.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البيئة:</w:t>
      </w:r>
      <w:r>
        <w:rPr>
          <w:rFonts w:ascii="Calibri" w:hAnsi="Calibri" w:cs="Arial"/>
          <w:rtl/>
          <w:sz w:val="24"/>
          <w:szCs w:val="24"/>
        </w:rPr>
        <w:t xml:space="preserve"> ينظم اختبار الحمأة والتخلص منها عبر مقاولين مرخصين، ويحتفظ بمستندات نقل النفايات.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يتحقق من استخدام معدات الحماية الشخصية وظروف العمل الآمنة في منطقتي نزع المياه والتخزين.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إزالة الحمأة ونزع المياه منها</w:t>
      </w:r>
    </w:p>
    <w:p>
      <w:pPr>
        <w:pStyle w:val="ListeParagraf"/>
        <w:bidi/>
        <w:spacing w:after="80"/>
        <w:ind w:left="0" w:right="709"/>
        <w:jc w:val="both"/>
      </w:pPr>
      <w:r>
        <w:rPr>
          <w:rFonts w:ascii="Calibri" w:hAnsi="Calibri" w:cs="Arial"/>
          <w:rtl/>
          <w:sz w:val="24"/>
          <w:szCs w:val="24"/>
        </w:rPr>
        <w:t xml:space="preserve">1.1. أزل الحمأة الزائدة من المروّق أو المكثف وفق تعليمات مشرف محطة المعالجة، بناءً على اختبار SV30 ومستوى الحمأة في المروّق.</w:t>
      </w:r>
    </w:p>
    <w:p>
      <w:pPr>
        <w:pStyle w:val="ListeParagraf"/>
        <w:bidi/>
        <w:spacing w:after="80"/>
        <w:ind w:left="0" w:right="709"/>
        <w:jc w:val="both"/>
      </w:pPr>
      <w:r>
        <w:rPr>
          <w:rFonts w:ascii="Calibri" w:hAnsi="Calibri" w:cs="Arial"/>
          <w:rtl/>
          <w:sz w:val="24"/>
          <w:szCs w:val="24"/>
        </w:rPr>
        <w:t xml:space="preserve">1.2. حضّر محلول البوليمر كما هو محدد في صحيفة البيانات الفنية للمورد وتعليمات مشرف المحطة، وأضفه بالمعدل المحدد.</w:t>
      </w:r>
    </w:p>
    <w:p>
      <w:pPr>
        <w:pStyle w:val="ListeParagraf"/>
        <w:bidi/>
        <w:spacing w:after="80"/>
        <w:ind w:left="0" w:right="709"/>
        <w:jc w:val="both"/>
      </w:pPr>
      <w:r>
        <w:rPr>
          <w:rFonts w:ascii="Calibri" w:hAnsi="Calibri" w:cs="Arial"/>
          <w:rtl/>
          <w:sz w:val="24"/>
          <w:szCs w:val="24"/>
        </w:rPr>
        <w:t xml:space="preserve">1.3. شغّل المكبس المرشح أو وحدة نزع المياه وفقًا لدليل الشركة المصنعة؛ وتحقق من أن أقمشة الترشيح نظيفة وغير ممزقة، وأن الراشح يعود إلى مدخل محطة المعالجة.</w:t>
      </w:r>
    </w:p>
    <w:p>
      <w:pPr>
        <w:pStyle w:val="ListeParagraf"/>
        <w:bidi/>
        <w:spacing w:after="80"/>
        <w:ind w:left="0" w:right="709"/>
        <w:jc w:val="both"/>
      </w:pPr>
      <w:r>
        <w:rPr>
          <w:rFonts w:ascii="Calibri" w:hAnsi="Calibri" w:cs="Arial"/>
          <w:rtl/>
          <w:sz w:val="24"/>
          <w:szCs w:val="24"/>
        </w:rPr>
        <w:t xml:space="preserve">1.4. تحقق من أن كعكة الحمأة جافة بما يكفي (لا توجد مياه حرة) قبل التعبئة في الأكياس؛ وإن لم تكن كذلك، أبلغ مشرف المحطة.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التعبئة ووضع البطاقات والتخزين</w:t>
      </w:r>
    </w:p>
    <w:p>
      <w:pPr>
        <w:pStyle w:val="ListeParagraf"/>
        <w:bidi/>
        <w:spacing w:after="80"/>
        <w:ind w:left="0" w:right="709"/>
        <w:jc w:val="both"/>
      </w:pPr>
      <w:r>
        <w:rPr>
          <w:rFonts w:ascii="Calibri" w:hAnsi="Calibri" w:cs="Arial"/>
          <w:rtl/>
          <w:sz w:val="24"/>
          <w:szCs w:val="24"/>
        </w:rPr>
        <w:t xml:space="preserve">2.1. عبّئ الحمأة المنزوعة المياه في أكياس أو حاويات قوية ومغلقة، وضع على كل منها بطاقة تحمل «حمأة محطة المعالجة» والتاريخ والوزن التقريبي وحالة الخطورة المحددة بالاختبار.</w:t>
      </w:r>
    </w:p>
    <w:p>
      <w:pPr>
        <w:pStyle w:val="ListeParagraf"/>
        <w:bidi/>
        <w:spacing w:after="80"/>
        <w:ind w:left="0" w:right="709"/>
        <w:jc w:val="both"/>
      </w:pPr>
      <w:r>
        <w:rPr>
          <w:rFonts w:ascii="Calibri" w:hAnsi="Calibri" w:cs="Arial"/>
          <w:rtl/>
          <w:sz w:val="24"/>
          <w:szCs w:val="24"/>
        </w:rPr>
        <w:t xml:space="preserve">2.2. خزّن الحمأة فقط في منطقة تخزين الحمأة المخصصة، والتي تكون مسقوفة وذات أرضية غير منفذة وحاجز احتواء، وتصرف إلى محطة المعالجة، ومحمية من المطر والرياح.</w:t>
      </w:r>
    </w:p>
    <w:p>
      <w:pPr>
        <w:pStyle w:val="ListeParagraf"/>
        <w:bidi/>
        <w:spacing w:after="80"/>
        <w:ind w:left="0" w:right="709"/>
        <w:jc w:val="both"/>
      </w:pPr>
      <w:r>
        <w:rPr>
          <w:rFonts w:ascii="Calibri" w:hAnsi="Calibri" w:cs="Arial"/>
          <w:rtl/>
          <w:sz w:val="24"/>
          <w:szCs w:val="24"/>
        </w:rPr>
        <w:t xml:space="preserve">2.3. زِن أو قدّر كل دفعة وسجّل الكمية في سجل الحمأة؛ وحافظ على نظافة المنطقة واجمع الحمأة المنسكبة فورًا.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الاختبار والتخلص</w:t>
      </w:r>
    </w:p>
    <w:p>
      <w:pPr>
        <w:pStyle w:val="ListeParagraf"/>
        <w:bidi/>
        <w:spacing w:after="80"/>
        <w:ind w:left="0" w:right="709"/>
        <w:jc w:val="both"/>
      </w:pPr>
      <w:r>
        <w:rPr>
          <w:rFonts w:ascii="Calibri" w:hAnsi="Calibri" w:cs="Arial"/>
          <w:rtl/>
          <w:sz w:val="24"/>
          <w:szCs w:val="24"/>
        </w:rPr>
        <w:t xml:space="preserve">3.1. ينظم مدير البيئة اختبار الحمأة لدى مختبر خارجي معتمد مرتين على الأقل سنويًا (بما في ذلك المعادن الثقيلة ومعايير ZDHC عندما يطلبها العملاء) لتحديد تصنيفها.</w:t>
      </w:r>
    </w:p>
    <w:p>
      <w:pPr>
        <w:pStyle w:val="ListeParagraf"/>
        <w:bidi/>
        <w:spacing w:after="80"/>
        <w:ind w:left="0" w:right="709"/>
        <w:jc w:val="both"/>
      </w:pPr>
      <w:r>
        <w:rPr>
          <w:rFonts w:ascii="Calibri" w:hAnsi="Calibri" w:cs="Arial"/>
          <w:rtl/>
          <w:sz w:val="24"/>
          <w:szCs w:val="24"/>
        </w:rPr>
        <w:t xml:space="preserve">3.2. لا تسلّم الحمأة إلا لمقاولي نفايات مرخصين لهذه الفئة من النفايات؛ وافحص المركبة وترخيص المقاول، ووقّع مستند نقل النفايات لكل شحنة.</w:t>
      </w:r>
    </w:p>
    <w:p>
      <w:pPr>
        <w:pStyle w:val="ListeParagraf"/>
        <w:bidi/>
        <w:spacing w:after="80"/>
        <w:ind w:left="0" w:right="709"/>
        <w:jc w:val="both"/>
      </w:pPr>
      <w:r>
        <w:rPr>
          <w:rFonts w:ascii="Calibri" w:hAnsi="Calibri" w:cs="Arial"/>
          <w:rtl/>
          <w:sz w:val="24"/>
          <w:szCs w:val="24"/>
        </w:rPr>
        <w:t xml:space="preserve">3.3. احتفظ بمستندات نقل النفايات وشهادات التخلص، وطابق الكميات مع سجل الحمأة شهريًا.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تُلقِ الحمأة على الأرض المكشوفة، ولا تخلطها بالنفايات المنزلية أو النسيجية، ولا تحرقها.</w:t>
      </w:r>
    </w:p>
    <w:p>
      <w:pPr>
        <w:pStyle w:val="ListeParagraf"/>
        <w:numPr>
          <w:ilvl w:val="0"/>
          <w:numId w:val="1"/>
        </w:numPr>
        <w:bidi/>
        <w:spacing w:after="60"/>
        <w:jc w:val="both"/>
      </w:pPr>
      <w:r>
        <w:rPr>
          <w:rFonts w:ascii="Calibri" w:hAnsi="Calibri" w:cs="Arial"/>
          <w:rtl/>
          <w:sz w:val="24"/>
          <w:szCs w:val="24"/>
        </w:rPr>
        <w:t xml:space="preserve">لا تخزّن الحمأة خارج المنطقة المخصصة أو لمدة أطول من المسموح بها في التشريعات ومن قبل مدير البيئة.</w:t>
      </w:r>
    </w:p>
    <w:p>
      <w:pPr>
        <w:pStyle w:val="ListeParagraf"/>
        <w:numPr>
          <w:ilvl w:val="0"/>
          <w:numId w:val="1"/>
        </w:numPr>
        <w:bidi/>
        <w:spacing w:after="60"/>
        <w:jc w:val="both"/>
      </w:pPr>
      <w:r>
        <w:rPr>
          <w:rFonts w:ascii="Calibri" w:hAnsi="Calibri" w:cs="Arial"/>
          <w:rtl/>
          <w:sz w:val="24"/>
          <w:szCs w:val="24"/>
        </w:rPr>
        <w:t xml:space="preserve">ارتدِ دائمًا القفازات والأحذية الطويلة والمريلة ونظارات السلامة؛ ولا تمد يدك داخل المكبس المرشح أثناء تشغيله، وطبّق نظام LOTO قبل التنظيف أو الإصلاح.</w:t>
      </w:r>
    </w:p>
    <w:p>
      <w:pPr>
        <w:pStyle w:val="ListeParagraf"/>
        <w:numPr>
          <w:ilvl w:val="0"/>
          <w:numId w:val="1"/>
        </w:numPr>
        <w:bidi/>
        <w:spacing w:after="60"/>
        <w:jc w:val="both"/>
      </w:pPr>
      <w:r>
        <w:rPr>
          <w:rFonts w:ascii="Calibri" w:hAnsi="Calibri" w:cs="Arial"/>
          <w:rtl/>
          <w:sz w:val="24"/>
          <w:szCs w:val="24"/>
        </w:rPr>
        <w:t xml:space="preserve">في حالة انسكاب الحمأة أو تسرب كيس، احتوِ الانسكاب واجمعه بالمجارف والمواد الماصة، وأعده إلى منطقة التخزين، وأبلغ مشرف محطة المعالجة.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EMS.ÇV.PRO.19.02. إجراء إدارة مياه الصرف ورصدها</w:t>
      </w:r>
    </w:p>
    <w:p>
      <w:pPr>
        <w:pStyle w:val="ListeParagraf"/>
        <w:numPr>
          <w:ilvl w:val="0"/>
          <w:numId w:val="1"/>
        </w:numPr>
        <w:bidi/>
        <w:spacing w:after="60"/>
        <w:jc w:val="both"/>
      </w:pPr>
      <w:r>
        <w:rPr>
          <w:rFonts w:ascii="Calibri" w:hAnsi="Calibri" w:cs="Arial"/>
          <w:rtl/>
          <w:sz w:val="24"/>
          <w:szCs w:val="24"/>
        </w:rPr>
        <w:t xml:space="preserve">EMS.ÇV.TL.19.02. تعليمات منطقة التخزين المؤقت للنفايات الخطرة</w:t>
      </w:r>
    </w:p>
    <w:p>
      <w:pPr>
        <w:pStyle w:val="ListeParagraf"/>
        <w:numPr>
          <w:ilvl w:val="0"/>
          <w:numId w:val="1"/>
        </w:numPr>
        <w:bidi/>
        <w:spacing w:after="60"/>
        <w:jc w:val="both"/>
      </w:pPr>
      <w:r>
        <w:rPr>
          <w:rFonts w:ascii="Calibri" w:hAnsi="Calibri" w:cs="Arial"/>
          <w:rtl/>
          <w:sz w:val="24"/>
          <w:szCs w:val="24"/>
        </w:rPr>
        <w:t xml:space="preserve">EMS.ÇV.TL.19.04. تعليمات التحاليل اليومية لمحطة معالجة مياه الصرف</w:t>
      </w:r>
    </w:p>
    <w:p>
      <w:pPr>
        <w:pStyle w:val="ListeParagraf"/>
        <w:numPr>
          <w:ilvl w:val="0"/>
          <w:numId w:val="1"/>
        </w:numPr>
        <w:bidi/>
        <w:spacing w:after="60"/>
        <w:jc w:val="both"/>
      </w:pPr>
      <w:r>
        <w:rPr>
          <w:rFonts w:ascii="Calibri" w:hAnsi="Calibri" w:cs="Arial"/>
          <w:rtl/>
          <w:sz w:val="24"/>
          <w:szCs w:val="24"/>
        </w:rPr>
        <w:t xml:space="preserve">سجل الحمأة، وتقارير اختبار الحمأة، ومستندات نقل النفايات، وتراخيص المقاولين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البيئة شهريًا كمية الحمأة الناتجة لكل متر مكعب من المياه المعالجة ولكل كيلوغرام من الإنتاج، ودرجة جفاف الحمأة، ومدة التخزين، واكتمال مستندات نقل النفايات. وتُراجع هذه التعليمات سنويًا أو بعد أي تغيير في عملية المعالجة أو طريقة التخلص.</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TREATMENT SLUDGE HANDLING INSTRUCTION</w:t>
          </w:r>
        </w:p>
        <w:p>
          <w:pPr>
            <w:pStyle w:val="GvdeMetni2"/>
            <w:bidi/>
            <w:spacing w:line="276" w:lineRule="auto"/>
            <w:jc w:val="center"/>
          </w:pPr>
          <w:r>
            <w:rPr>
              <w:rFonts w:asciiTheme="minorHAnsi" w:hAnsiTheme="minorHAnsi" w:cs="Arial"/>
              <w:b/>
              <w:bCs/>
              <w:color w:val="000000" w:themeColor="text1"/>
              <w:sz w:val="22"/>
              <w:szCs w:val="22"/>
              <w:rtl/>
            </w:rPr>
            <w:t>تعليمات التعامل مع حمأة المعالجة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EMS.ÇV.TL.19.05.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EMS.ÇV.TL.19.05. TREATMENT SLUDGE HANDLING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