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instruction defines how printing screens are prepared and how printing inks are mixed at EMS, so that prints match the approved strike-off, inks are safe and compliant, and waste is minimised.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It applies to the screen room and the ink kitchen of the printing department, for all water-based, plastisol and special effect inks.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Printing Supervisor:</w:t>
      </w:r>
      <w:r>
        <w:rPr>
          <w:rFonts w:ascii="Calibri" w:hAnsi="Calibri" w:cs="Arial"/>
          <w:sz w:val="24"/>
          <w:szCs w:val="24"/>
        </w:rPr>
        <w:t xml:space="preserve"> Approves screens and ink colours against the strike-off before bulk printing.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Screen Maker:</w:t>
      </w:r>
      <w:r>
        <w:rPr>
          <w:rFonts w:ascii="Calibri" w:hAnsi="Calibri" w:cs="Arial"/>
          <w:sz w:val="24"/>
          <w:szCs w:val="24"/>
        </w:rPr>
        <w:t xml:space="preserve"> Coats, exposes, washes and checks the screens.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Ink Mixer (Colour Matcher):</w:t>
      </w:r>
      <w:r>
        <w:rPr>
          <w:rFonts w:ascii="Calibri" w:hAnsi="Calibri" w:cs="Arial"/>
          <w:sz w:val="24"/>
          <w:szCs w:val="24"/>
        </w:rPr>
        <w:t xml:space="preserve"> Weighs and mixes inks according to the ink recipe and records each batch.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INSTRUCTIONS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SCREEN PREPARATION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Check the frame, mesh count and mesh tension as specified for the design; replace damaged mesh.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1.2. Degrease the mesh, dry it, coat it evenly with emulsion and dry it in the dark drying cabinet.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1.3. Expose with the approved film positive at the exposure time set by test, wash out and dry; check for pinholes and registration marks.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1.4. Label each screen with style, design, colour and screen number and store it vertically in the screen rack.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INK MIXING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2.1. Use only inks and auxiliaries listed in the approved chemical inventory and conforming to ZDHC MRSL and the customer RSL.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2.2. Weigh each component on a calibrated scale according to the ink recipe and mix until homogeneous.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2.3. Make a test print on the production fabric, cure it and compare it with the strike-off in the light box; adjust and record the final recipe.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2.4. Label each ink container with design, colour, batch, date and GHS hazard information; mix only the quantity needed for the order.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SAFETY RULES / PROHIBITIONS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mix inks or clean screens without gloves, goggles and the PPE shown on the SDS.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use solvents that are not approved; keep the ink kitchen ventilated.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pour ink or screen wash water into drains; collect it as hazardous waste or send it to the treatment plant as instructed.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RELATED DOCUMENTS AND RECORDS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Screen Register, Ink Recipe and Ink Batch Record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EMS.ÜR.TL.05.04. Printing Instruction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EMS.KS.TL.22.03. Print and Embroidery Quality Check Instruction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EMS.KM.TL.20.02. Chemical Container Labelling Instruction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EMS.ÇV.TL.19.01. Waste Segregation Instruction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FEEDBACK AND MONITORING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Screen remakes, ink waste and print shade rejections are monitored monthly by the Printing Supervisor. This instruction is reviewed every year or after a change of ink system or a related quality complaint.</w:t>
      </w:r>
    </w:p>
    <w:p>
      <w:pPr>
        <w:pStyle w:val="ListeParagraf"/>
        <w:pageBreakBefore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تحدد هذه التعليمات كيفية تجهيز شاشات الطباعة وخلط أحبار الطباعة لدى شركة إيروغلو للتريكو (EMS)، بحيث تطابق الطباعة العينة المعتمدة (Strike-off) وتكون الأحبار آمنة ومطابقة، ويُقلل الهدر.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تنطبق على غرفة الشاشات ومطبخ الأحبار في قسم الطباعة، ولجميع الأحبار المائية والبلاستيزول وأحبار المؤثرات الخاصة.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مشرف الطباعة:</w:t>
      </w:r>
      <w:r>
        <w:rPr>
          <w:rFonts w:ascii="Calibri" w:hAnsi="Calibri" w:cs="Arial"/>
          <w:rtl/>
          <w:sz w:val="24"/>
          <w:szCs w:val="24"/>
        </w:rPr>
        <w:t xml:space="preserve"> يعتمد الشاشات وألوان الأحبار مقارنة بالعينة المعتمدة قبل الطباعة الكمية.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فني الشاشات:</w:t>
      </w:r>
      <w:r>
        <w:rPr>
          <w:rFonts w:ascii="Calibri" w:hAnsi="Calibri" w:cs="Arial"/>
          <w:rtl/>
          <w:sz w:val="24"/>
          <w:szCs w:val="24"/>
        </w:rPr>
        <w:t xml:space="preserve"> يطلي الشاشات ويعرّضها للضوء ويغسلها ويفحصها.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فني خلط الأحبار:</w:t>
      </w:r>
      <w:r>
        <w:rPr>
          <w:rFonts w:ascii="Calibri" w:hAnsi="Calibri" w:cs="Arial"/>
          <w:rtl/>
          <w:sz w:val="24"/>
          <w:szCs w:val="24"/>
        </w:rPr>
        <w:t xml:space="preserve"> يزن الأحبار ويخلطها وفق وصفة الحبر ويسجل كل دفعة.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التعليمات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تجهيز الشاشات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1.1. افحص الإطار وعدد فتحات الشبكة وشد الشبكة حسب المحدد للتصميم، واستبدل الشبكة التالفة.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1.2. أزل الدهون من الشبكة وجففها، ثم اطلها بالمستحلب بشكل متساوٍ وجففها في خزانة التجفيف المظلمة.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1.3. عرّض الشاشة للضوء باستخدام الفيلم الموجب المعتمد ولمدة التعريض المحددة بالتجربة، ثم اغسلها وجففها، وافحصها بحثًا عن الثقوب الدقيقة وعلامات الضبط.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1.4. ضع على كل شاشة بطاقة بالموديل والتصميم واللون ورقم الشاشة، وخزّنها رأسيًا في حامل الشاشات.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خلط الأحبار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2.1. استخدم فقط الأحبار والمواد المساعدة المدرجة في قائمة الكيماويات المعتمدة والمطابقة لـ ZDHC MRSL وقائمة المواد المقيدة RSL للعميل.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2.2. زن كل مكوّن على ميزان معاير وفق وصفة الحبر، واخلطه حتى يصبح متجانسًا.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2.3. اطبع عينة اختبارية على قماش الإنتاج وثبّتها حراريًا وقارنها بالعينة المعتمدة في كابينة الإضاءة، ثم عدّل الوصفة وسجّل الوصفة النهائية.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2.4. ضع على كل وعاء حبر بطاقة بالتصميم واللون والدفعة والتاريخ ومعلومات الخطورة وفق GHS، واخلط الكمية اللازمة للأمر فقط.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قواعد السلامة / المحظورات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تخلط الأحبار ولا تنظف الشاشات دون قفازات ونظارات واقية ومعدات الوقاية الشخصية المبينة في صحيفة بيانات السلامة (SDS).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تستخدم مذيبات غير معتمدة، واحرص على تهوية مطبخ الأحبار.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تسكب الحبر أو مياه غسيل الشاشات في المصارف؛ اجمعها كنفايات خطرة أو أرسلها إلى محطة المعالجة حسب التعليمات.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الوثائق والسجلات ذات الصلة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سجل الشاشات ووصفة الحبر وسجل دفعات الحبر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EMS.ÜR.TL.05.04. تعليمات الطباعة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EMS.KS.TL.22.03. تعليمات فحص جودة الطباعة والتطريز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EMS.KM.TL.20.02. تعليمات وضع البطاقات على عبوات الكيماويات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EMS.ÇV.TL.19.01. تعليمات فصل النفايات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التغذية الراجعة والمتابعة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يتابع مشرف الطباعة شهريًا حالات إعادة تجهيز الشاشات وهدر الأحبار ورفض درجات لون الطباعة. وتُراجع هذه التعليمات سنويًا أو بعد تغيير نظام الأحبار أو شكوى جودة ذات صلة.</w:t>
      </w:r>
    </w:p>
    <w:p/>
    <w:p w14:paraId="09C717F6" w14:textId="77777777" w:rsidR="00492105" w:rsidRDefault="00492105" w:rsidP="00E34A01">
      <w:pPr>
        <w:pStyle w:val="ListeParagraf"/>
        <w:keepNext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keepNext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cantSplit/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cantSplit/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drawing>
                <wp:anchor distT="0" distB="0" distL="114300" distR="114300" simplePos="0" relativeHeight="251658240" behindDoc="0" locked="0" layoutInCell="1" allowOverlap="1" wp14:anchorId="168E1990" wp14:editId="230A926C">
                  <wp:simplePos x="0" y="0"/>
                  <wp:positionH relativeFrom="column">
                    <wp:posOffset>-143510</wp:posOffset>
                  </wp:positionH>
                  <wp:positionV relativeFrom="paragraph">
                    <wp:posOffset>153670</wp:posOffset>
                  </wp:positionV>
                  <wp:extent cx="1569720" cy="1046480"/>
                  <wp:effectExtent l="0" t="0" r="0" b="0"/>
                  <wp:wrapNone/>
                  <wp:docPr id="196847015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70152" name="Resim 19684701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BAYDOGAN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cantSplit/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537CF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78FB8" w14:textId="33A29CBB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BB3A54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F4E587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SCREEN PREPARATION AND PRINTING INK MIXING INSTRUCTION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تعليمات تجهيز الشاشات وخلط أحبار الطباعة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EMS.ÜR.TL.05.10.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EMS.ÜR.TL.05.10. SCREEN PREPARATION AND PRINTING INK MIXING INSTRUCTION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