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recruits workers directly or through labour agencies in a responsible way, so that no worker pays recruitment fees, no forced or bonded labour occurs, workers receive truthful information before hiring and agency workers enjoy the same rights as direct employees, in line with applicable Egyptian legislation and customer codes of conduct.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recruitment carried out by EMS, all private employment and labour supply agencies, recruiters and service providers (such as transport, canteen and cleaning contractors) whose workers work on EMS premises. Internal steps of hiring and termination are described in EMS.İK.PRO.01.08.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use of any labour agency and provides the budget so that all recruitment costs are borne by the Company.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Selects and contracts agencies, manages recruitment campaigns, checks agency workers' documents and pay, and keeps recruitment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Carries out due diligence and audits of agencies, interviews agency workers and follows up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Includes the social compliance clauses of this procedure in service contracts with agencies and contractors.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Labour Agencies:</w:t>
      </w:r>
      <w:r>
        <w:rPr>
          <w:rFonts w:ascii="Calibri" w:hAnsi="Calibri" w:cs="Arial"/>
          <w:sz w:val="24"/>
          <w:szCs w:val="24"/>
        </w:rPr>
        <w:t xml:space="preserve"> Comply with this procedure, the agency contract and the EMS supplier code of conduct.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Recruitment Fees and Related Costs:</w:t>
      </w:r>
      <w:r>
        <w:rPr>
          <w:rFonts w:ascii="Calibri" w:hAnsi="Calibri" w:cs="Arial"/>
          <w:sz w:val="24"/>
          <w:szCs w:val="24"/>
        </w:rPr>
        <w:t xml:space="preserve"> Any fee or cost for recruitment, such as agency fees, medical tests, documents, training, transport or deposits; under the Employer Pays Principle these are paid by EMS, not by the worker.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Labour Agency:</w:t>
      </w:r>
      <w:r>
        <w:rPr>
          <w:rFonts w:ascii="Calibri" w:hAnsi="Calibri" w:cs="Arial"/>
          <w:sz w:val="24"/>
          <w:szCs w:val="24"/>
        </w:rPr>
        <w:t xml:space="preserve"> A private company that recruits workers for EMS or supplies workers who work on EMS premises.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Agency Worker:</w:t>
      </w:r>
      <w:r>
        <w:rPr>
          <w:rFonts w:ascii="Calibri" w:hAnsi="Calibri" w:cs="Arial"/>
          <w:sz w:val="24"/>
          <w:szCs w:val="24"/>
        </w:rPr>
        <w:t xml:space="preserve"> A worker employed or paid by a labour agency but working at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Forced or Bonded Labour:</w:t>
      </w:r>
      <w:r>
        <w:rPr>
          <w:rFonts w:ascii="Calibri" w:hAnsi="Calibri" w:cs="Arial"/>
          <w:sz w:val="24"/>
          <w:szCs w:val="24"/>
        </w:rPr>
        <w:t xml:space="preserve"> Work done under threat, debt, retention of documents, deception or restriction of movement.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RECRUITMENT PLANNING</w:t>
      </w:r>
    </w:p>
    <w:p>
      <w:pPr>
        <w:pStyle w:val="ListeParagraf"/>
        <w:spacing w:after="80"/>
        <w:ind w:left="709" w:right="0"/>
        <w:jc w:val="both"/>
      </w:pPr>
      <w:r>
        <w:rPr>
          <w:rFonts w:ascii="Calibri" w:hAnsi="Calibri" w:cs="Arial"/>
          <w:sz w:val="24"/>
          <w:szCs w:val="24"/>
        </w:rPr>
        <w:t xml:space="preserve">1.1. Departments submit staffing requests to HR; HR decides whether to recruit directly or through an agency, giving priority to direct recruitment.</w:t>
      </w:r>
    </w:p>
    <w:p>
      <w:pPr>
        <w:pStyle w:val="ListeParagraf"/>
        <w:spacing w:after="80"/>
        <w:ind w:left="709" w:right="0"/>
        <w:jc w:val="both"/>
      </w:pPr>
      <w:r>
        <w:rPr>
          <w:rFonts w:ascii="Calibri" w:hAnsi="Calibri" w:cs="Arial"/>
          <w:sz w:val="24"/>
          <w:szCs w:val="24"/>
        </w:rPr>
        <w:t xml:space="preserve">1.2. Job advertisements state the position, wage range, working hours, location and benefits truthfully; they do not include any requirement related to gender, religion, marital status, pregnancy or other discriminatory criteria (EMS.İK.PRO.01.10.).</w:t>
      </w:r>
    </w:p>
    <w:p>
      <w:pPr>
        <w:pStyle w:val="ListeParagraf"/>
        <w:spacing w:after="80"/>
        <w:ind w:left="709" w:right="0"/>
        <w:jc w:val="both"/>
      </w:pPr>
      <w:r>
        <w:rPr>
          <w:rFonts w:ascii="Calibri" w:hAnsi="Calibri" w:cs="Arial"/>
          <w:sz w:val="24"/>
          <w:szCs w:val="24"/>
        </w:rPr>
        <w:t xml:space="preserve">1.3. Advertisements clearly state that EMS does not charge any fee and that workers should report any request for payment to HR.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SELECTION AND APPROVAL OF AGENCIES</w:t>
      </w:r>
    </w:p>
    <w:p>
      <w:pPr>
        <w:pStyle w:val="ListeParagraf"/>
        <w:spacing w:after="80"/>
        <w:ind w:left="709" w:right="0"/>
        <w:jc w:val="both"/>
      </w:pPr>
      <w:r>
        <w:rPr>
          <w:rFonts w:ascii="Calibri" w:hAnsi="Calibri" w:cs="Arial"/>
          <w:sz w:val="24"/>
          <w:szCs w:val="24"/>
        </w:rPr>
        <w:t xml:space="preserve">2.1. Before contracting, the Social Compliance Manager carries out due diligence: legal licence, ownership, reputation, fee structure, worker contracts, payment practices and past complaints.</w:t>
      </w:r>
    </w:p>
    <w:p>
      <w:pPr>
        <w:pStyle w:val="ListeParagraf"/>
        <w:spacing w:after="80"/>
        <w:ind w:left="709" w:right="0"/>
        <w:jc w:val="both"/>
      </w:pPr>
      <w:r>
        <w:rPr>
          <w:rFonts w:ascii="Calibri" w:hAnsi="Calibri" w:cs="Arial"/>
          <w:sz w:val="24"/>
          <w:szCs w:val="24"/>
        </w:rPr>
        <w:t xml:space="preserve">2.2. Only agencies that accept the zero-fee policy, the EMS supplier code of conduct and audit rights are approved and included in the Approved Labour Agency List.</w:t>
      </w:r>
    </w:p>
    <w:p>
      <w:pPr>
        <w:pStyle w:val="ListeParagraf"/>
        <w:spacing w:after="80"/>
        <w:ind w:left="709" w:right="0"/>
        <w:jc w:val="both"/>
      </w:pPr>
      <w:r>
        <w:rPr>
          <w:rFonts w:ascii="Calibri" w:hAnsi="Calibri" w:cs="Arial"/>
          <w:sz w:val="24"/>
          <w:szCs w:val="24"/>
        </w:rPr>
        <w:t xml:space="preserve">2.3. The agency contract states the service fee paid by EMS, the requirement to pay at least the same wage and benefits as direct employees for the same work, social insurance obligations and termination for serious breaches.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PRE-EMPLOYMENT INFORMATION AND HIRING</w:t>
      </w:r>
    </w:p>
    <w:p>
      <w:pPr>
        <w:pStyle w:val="ListeParagraf"/>
        <w:spacing w:after="80"/>
        <w:ind w:left="709" w:right="0"/>
        <w:jc w:val="both"/>
      </w:pPr>
      <w:r>
        <w:rPr>
          <w:rFonts w:ascii="Calibri" w:hAnsi="Calibri" w:cs="Arial"/>
          <w:sz w:val="24"/>
          <w:szCs w:val="24"/>
        </w:rPr>
        <w:t xml:space="preserve">3.1. Before hiring, every candidate receives a clear explanation, in Arabic or a language he or she understands, of the job, wage, working hours, overtime rules, leave and deductions; written contract copies are given to the worker.</w:t>
      </w:r>
    </w:p>
    <w:p>
      <w:pPr>
        <w:pStyle w:val="ListeParagraf"/>
        <w:spacing w:after="80"/>
        <w:ind w:left="709" w:right="0"/>
        <w:jc w:val="both"/>
      </w:pPr>
      <w:r>
        <w:rPr>
          <w:rFonts w:ascii="Calibri" w:hAnsi="Calibri" w:cs="Arial"/>
          <w:sz w:val="24"/>
          <w:szCs w:val="24"/>
        </w:rPr>
        <w:t xml:space="preserve">3.2. Age and identity are checked in person on original documents as described in EMS.İK.TL.01.02.; copies are kept, originals are returned immediately.</w:t>
      </w:r>
    </w:p>
    <w:p>
      <w:pPr>
        <w:pStyle w:val="ListeParagraf"/>
        <w:spacing w:after="80"/>
        <w:ind w:left="709" w:right="0"/>
        <w:jc w:val="both"/>
      </w:pPr>
      <w:r>
        <w:rPr>
          <w:rFonts w:ascii="Calibri" w:hAnsi="Calibri" w:cs="Arial"/>
          <w:sz w:val="24"/>
          <w:szCs w:val="24"/>
        </w:rPr>
        <w:t xml:space="preserve">3.3. During induction, HR asks each new worker, using a short confidential interview, whether he or she paid any money or signed any loan to get the job; answers are recorded.</w:t>
      </w:r>
    </w:p>
    <w:p>
      <w:pPr>
        <w:pStyle w:val="ListeParagraf"/>
        <w:spacing w:after="80"/>
        <w:ind w:left="709" w:right="0"/>
        <w:jc w:val="both"/>
      </w:pPr>
      <w:r>
        <w:rPr>
          <w:rFonts w:ascii="Calibri" w:hAnsi="Calibri" w:cs="Arial"/>
          <w:sz w:val="24"/>
          <w:szCs w:val="24"/>
        </w:rPr>
        <w:t xml:space="preserve">3.4. Any fee found to have been paid by a worker is reimbursed by EMS in full within one pay period, and the agency is charged and placed under corrective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FREEDOM OF MOVEMENT AND EMPLOYMENT CONDITIONS</w:t>
      </w:r>
    </w:p>
    <w:p>
      <w:pPr>
        <w:pStyle w:val="ListeParagraf"/>
        <w:spacing w:after="80"/>
        <w:ind w:left="709" w:right="0"/>
        <w:jc w:val="both"/>
      </w:pPr>
      <w:r>
        <w:rPr>
          <w:rFonts w:ascii="Calibri" w:hAnsi="Calibri" w:cs="Arial"/>
          <w:sz w:val="24"/>
          <w:szCs w:val="24"/>
        </w:rPr>
        <w:t xml:space="preserve">4.1. EMS and agencies never keep workers' original identity documents, passports, diplomas or bank cards, and do not demand deposits or guarantees.</w:t>
      </w:r>
    </w:p>
    <w:p>
      <w:pPr>
        <w:pStyle w:val="ListeParagraf"/>
        <w:spacing w:after="80"/>
        <w:ind w:left="709" w:right="0"/>
        <w:jc w:val="both"/>
      </w:pPr>
      <w:r>
        <w:rPr>
          <w:rFonts w:ascii="Calibri" w:hAnsi="Calibri" w:cs="Arial"/>
          <w:sz w:val="24"/>
          <w:szCs w:val="24"/>
        </w:rPr>
        <w:t xml:space="preserve">4.2. Workers are free to resign with the legal notice period and to leave the premises after their shift; no penalty or debt is used to prevent resignation.</w:t>
      </w:r>
    </w:p>
    <w:p>
      <w:pPr>
        <w:pStyle w:val="ListeParagraf"/>
        <w:spacing w:after="80"/>
        <w:ind w:left="709" w:right="0"/>
        <w:jc w:val="both"/>
      </w:pPr>
      <w:r>
        <w:rPr>
          <w:rFonts w:ascii="Calibri" w:hAnsi="Calibri" w:cs="Arial"/>
          <w:sz w:val="24"/>
          <w:szCs w:val="24"/>
        </w:rPr>
        <w:t xml:space="preserve">4.3. Agency workers have the same access as direct employees to canteen, transport, PPE, training, grievance channels and worker representation (EMS.İK.PRO.01.17.).</w:t>
      </w:r>
    </w:p>
    <w:p>
      <w:pPr>
        <w:pStyle w:val="ListeParagraf"/>
        <w:spacing w:after="80"/>
        <w:ind w:left="709" w:right="0"/>
        <w:jc w:val="both"/>
      </w:pPr>
      <w:r>
        <w:rPr>
          <w:rFonts w:ascii="Calibri" w:hAnsi="Calibri" w:cs="Arial"/>
          <w:sz w:val="24"/>
          <w:szCs w:val="24"/>
        </w:rPr>
        <w:t xml:space="preserve">4.4. HR checks agency payrolls every month against attendance records to confirm that wages, overtime and social insurance are paid correctly and on 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AGENCY MONITORING AND AUDIT</w:t>
      </w:r>
    </w:p>
    <w:p>
      <w:pPr>
        <w:pStyle w:val="ListeParagraf"/>
        <w:spacing w:after="80"/>
        <w:ind w:left="709" w:right="0"/>
        <w:jc w:val="both"/>
      </w:pPr>
      <w:r>
        <w:rPr>
          <w:rFonts w:ascii="Calibri" w:hAnsi="Calibri" w:cs="Arial"/>
          <w:sz w:val="24"/>
          <w:szCs w:val="24"/>
        </w:rPr>
        <w:t xml:space="preserve">5.1. Each approved agency is audited at least once a year, including interviews with a sample of its workers without agency staff present.</w:t>
      </w:r>
    </w:p>
    <w:p>
      <w:pPr>
        <w:pStyle w:val="ListeParagraf"/>
        <w:spacing w:after="80"/>
        <w:ind w:left="709" w:right="0"/>
        <w:jc w:val="both"/>
      </w:pPr>
      <w:r>
        <w:rPr>
          <w:rFonts w:ascii="Calibri" w:hAnsi="Calibri" w:cs="Arial"/>
          <w:sz w:val="24"/>
          <w:szCs w:val="24"/>
        </w:rPr>
        <w:t xml:space="preserve">5.2. Findings are recorded in a corrective action plan with deadlines; serious breaches such as fee charging, document retention or unpaid wages lead to suspension of the agency.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HR and the Social Compliance Manager report the following indicators quarterly to the management review:</w:t>
      </w:r>
    </w:p>
    <w:p>
      <w:pPr>
        <w:pStyle w:val="ListeParagraf"/>
        <w:numPr>
          <w:ilvl w:val="0"/>
          <w:numId w:val="1"/>
        </w:numPr>
        <w:spacing w:after="60"/>
        <w:jc w:val="both"/>
      </w:pPr>
      <w:r>
        <w:rPr>
          <w:rFonts w:ascii="Calibri" w:hAnsi="Calibri" w:cs="Arial"/>
          <w:sz w:val="24"/>
          <w:szCs w:val="24"/>
        </w:rPr>
        <w:t xml:space="preserve">Number of workers who reported paying recruitment fees (target: zero),</w:t>
      </w:r>
    </w:p>
    <w:p>
      <w:pPr>
        <w:pStyle w:val="ListeParagraf"/>
        <w:numPr>
          <w:ilvl w:val="0"/>
          <w:numId w:val="1"/>
        </w:numPr>
        <w:spacing w:after="60"/>
        <w:jc w:val="both"/>
      </w:pPr>
      <w:r>
        <w:rPr>
          <w:rFonts w:ascii="Calibri" w:hAnsi="Calibri" w:cs="Arial"/>
          <w:sz w:val="24"/>
          <w:szCs w:val="24"/>
        </w:rPr>
        <w:t xml:space="preserve">Total amount reimbursed to workers,</w:t>
      </w:r>
    </w:p>
    <w:p>
      <w:pPr>
        <w:pStyle w:val="ListeParagraf"/>
        <w:numPr>
          <w:ilvl w:val="0"/>
          <w:numId w:val="1"/>
        </w:numPr>
        <w:spacing w:after="60"/>
        <w:jc w:val="both"/>
      </w:pPr>
      <w:r>
        <w:rPr>
          <w:rFonts w:ascii="Calibri" w:hAnsi="Calibri" w:cs="Arial"/>
          <w:sz w:val="24"/>
          <w:szCs w:val="24"/>
        </w:rPr>
        <w:t xml:space="preserve">Percentage of agencies audited within the year (target: 100%),</w:t>
      </w:r>
    </w:p>
    <w:p>
      <w:pPr>
        <w:pStyle w:val="ListeParagraf"/>
        <w:numPr>
          <w:ilvl w:val="0"/>
          <w:numId w:val="1"/>
        </w:numPr>
        <w:spacing w:after="60"/>
        <w:jc w:val="both"/>
      </w:pPr>
      <w:r>
        <w:rPr>
          <w:rFonts w:ascii="Calibri" w:hAnsi="Calibri" w:cs="Arial"/>
          <w:sz w:val="24"/>
          <w:szCs w:val="24"/>
        </w:rPr>
        <w:t xml:space="preserve">Percentage of agency workers paid correctly and on time (target: 100%).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Approved Labour Agency List, agency due diligence and audit reports</w:t>
      </w:r>
    </w:p>
    <w:p>
      <w:pPr>
        <w:pStyle w:val="ListeParagraf"/>
        <w:numPr>
          <w:ilvl w:val="0"/>
          <w:numId w:val="1"/>
        </w:numPr>
        <w:spacing w:after="60"/>
        <w:jc w:val="both"/>
      </w:pPr>
      <w:r>
        <w:rPr>
          <w:rFonts w:ascii="Calibri" w:hAnsi="Calibri" w:cs="Arial"/>
          <w:sz w:val="24"/>
          <w:szCs w:val="24"/>
        </w:rPr>
        <w:t xml:space="preserve">Agency contracts and corrective action plans</w:t>
      </w:r>
    </w:p>
    <w:p>
      <w:pPr>
        <w:pStyle w:val="ListeParagraf"/>
        <w:numPr>
          <w:ilvl w:val="0"/>
          <w:numId w:val="1"/>
        </w:numPr>
        <w:spacing w:after="60"/>
        <w:jc w:val="both"/>
      </w:pPr>
      <w:r>
        <w:rPr>
          <w:rFonts w:ascii="Calibri" w:hAnsi="Calibri" w:cs="Arial"/>
          <w:sz w:val="24"/>
          <w:szCs w:val="24"/>
        </w:rPr>
        <w:t xml:space="preserve">New worker fee interview forms and reimbursement records</w:t>
      </w:r>
    </w:p>
    <w:p>
      <w:pPr>
        <w:pStyle w:val="ListeParagraf"/>
        <w:numPr>
          <w:ilvl w:val="0"/>
          <w:numId w:val="1"/>
        </w:numPr>
        <w:spacing w:after="60"/>
        <w:jc w:val="both"/>
      </w:pPr>
      <w:r>
        <w:rPr>
          <w:rFonts w:ascii="Calibri" w:hAnsi="Calibri" w:cs="Arial"/>
          <w:sz w:val="24"/>
          <w:szCs w:val="24"/>
        </w:rPr>
        <w:t xml:space="preserve">EMS.İK.PRO.01.08. Recruitment and Termination Procedure</w:t>
      </w:r>
    </w:p>
    <w:p>
      <w:pPr>
        <w:pStyle w:val="ListeParagraf"/>
        <w:numPr>
          <w:ilvl w:val="0"/>
          <w:numId w:val="1"/>
        </w:numPr>
        <w:spacing w:after="60"/>
        <w:jc w:val="both"/>
      </w:pPr>
      <w:r>
        <w:rPr>
          <w:rFonts w:ascii="Calibri" w:hAnsi="Calibri" w:cs="Arial"/>
          <w:sz w:val="24"/>
          <w:szCs w:val="24"/>
        </w:rPr>
        <w:t xml:space="preserve">EMS.İK.PRO.01.01. Child Labour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Workers can report any recruitment fee, document retention or unfair agency practice confidentially through the grievance mechanism (EMS.İK.PRO.01.07.) without fear of retaliation. This procedure is reviewed every year by HR and the Social Compliance Manager, and after any serious finding.</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بتوظيف العمال مباشرةً أو عبر وكالات التوظيف بطريقة مسؤولة، بحيث لا يدفع أي عامل رسوم توظيف، ولا يحدث أي عمل جبري أو عمل لسداد دين، ويحصل العمال على معلومات صحيحة قبل التعيين، ويتمتع عمال الوكالات بنفس حقوق الموظفين المباشرين، وفقًا للتشريعات المصرية المعمول بها ومدونات سلوك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جميع عمليات التوظيف التي تجريها EMS، وعلى جميع وكالات التوظيف الخاصة ووكالات توريد العمالة والقائمين بالتوظيف ومقدمي الخدمات (مثل مقاولي النقل والمقصف والنظافة) الذين يعمل عمالهم داخل مقر EMS. أما الخطوات الداخلية للتعيين وإنهاء الخدمة فموضحة في EMS.İK.PRO.01.08.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الاستعانة بأي وكالة توظيف، ويوفر الميزانية اللازمة لتتحمل الشركة جميع تكاليف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يختار الوكالات ويتعاقد معها، ويدير حملات التوظيف، ويتحقق من مستندات عمال الوكالات وأجورهم، ويحتفظ بسجلات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(CSR):</w:t>
      </w:r>
      <w:r>
        <w:rPr>
          <w:rFonts w:ascii="Calibri" w:hAnsi="Calibri" w:cs="Arial"/>
          <w:rtl/>
          <w:sz w:val="24"/>
          <w:szCs w:val="24"/>
        </w:rPr>
        <w:t xml:space="preserve"> يجري العناية الواجبة والتدقيق على الوكالات، ويقابل عمال الوكالات، ويتابع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يُدرج بنود الامتثال الاجتماعي الواردة في هذا الإجراء ضمن عقود الخدمات مع الوكالات والمقاولين.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وكالات التوظيف:</w:t>
      </w:r>
      <w:r>
        <w:rPr>
          <w:rFonts w:ascii="Calibri" w:hAnsi="Calibri" w:cs="Arial"/>
          <w:rtl/>
          <w:sz w:val="24"/>
          <w:szCs w:val="24"/>
        </w:rPr>
        <w:t xml:space="preserve"> تلتزم بهذا الإجراء وبعقد الوكالة وبمدونة سلوك الموردين الخاصة بـ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رسوم التوظيف والتكاليف المرتبطة به:</w:t>
      </w:r>
      <w:r>
        <w:rPr>
          <w:rFonts w:ascii="Calibri" w:hAnsi="Calibri" w:cs="Arial"/>
          <w:rtl/>
          <w:sz w:val="24"/>
          <w:szCs w:val="24"/>
        </w:rPr>
        <w:t xml:space="preserve"> أي رسوم أو تكاليف للتوظيف، مثل أتعاب الوكالة أو الفحوص الطبية أو المستندات أو التدريب أو النقل أو التأمينات؛ ووفقًا لمبدأ «صاحب العمل يدفع» تتحملها EMS وليس العامل.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وكالة التوظيف:</w:t>
      </w:r>
      <w:r>
        <w:rPr>
          <w:rFonts w:ascii="Calibri" w:hAnsi="Calibri" w:cs="Arial"/>
          <w:rtl/>
          <w:sz w:val="24"/>
          <w:szCs w:val="24"/>
        </w:rPr>
        <w:t xml:space="preserve"> شركة خاصة توظف عمالًا لصالح EMS أو تورّد عمالًا يعملون داخل مقر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عامل الوكالة:</w:t>
      </w:r>
      <w:r>
        <w:rPr>
          <w:rFonts w:ascii="Calibri" w:hAnsi="Calibri" w:cs="Arial"/>
          <w:rtl/>
          <w:sz w:val="24"/>
          <w:szCs w:val="24"/>
        </w:rPr>
        <w:t xml:space="preserve"> عامل توظفه أو تدفع أجره وكالة توظيف لكنه يعمل لدى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الجبري أو العمل لسداد دين:</w:t>
      </w:r>
      <w:r>
        <w:rPr>
          <w:rFonts w:ascii="Calibri" w:hAnsi="Calibri" w:cs="Arial"/>
          <w:rtl/>
          <w:sz w:val="24"/>
          <w:szCs w:val="24"/>
        </w:rPr>
        <w:t xml:space="preserve"> عمل يُؤدى تحت التهديد أو بسبب دين أو احتجاز المستندات أو الخداع أو تقييد حرية التنقل.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تخطيط التوظيف</w:t>
      </w:r>
    </w:p>
    <w:p>
      <w:pPr>
        <w:pStyle w:val="ListeParagraf"/>
        <w:bidi/>
        <w:spacing w:after="80"/>
        <w:ind w:left="0" w:right="709"/>
        <w:jc w:val="both"/>
      </w:pPr>
      <w:r>
        <w:rPr>
          <w:rFonts w:ascii="Calibri" w:hAnsi="Calibri" w:cs="Arial"/>
          <w:rtl/>
          <w:sz w:val="24"/>
          <w:szCs w:val="24"/>
        </w:rPr>
        <w:t xml:space="preserve">1.1. تقدم الأقسام طلبات الاحتياج من العمالة إلى الموارد البشرية؛ وتقرر الموارد البشرية التوظيف المباشر أو عبر وكالة، مع إعطاء الأولوية للتوظيف المباشر.</w:t>
      </w:r>
    </w:p>
    <w:p>
      <w:pPr>
        <w:pStyle w:val="ListeParagraf"/>
        <w:bidi/>
        <w:spacing w:after="80"/>
        <w:ind w:left="0" w:right="709"/>
        <w:jc w:val="both"/>
      </w:pPr>
      <w:r>
        <w:rPr>
          <w:rFonts w:ascii="Calibri" w:hAnsi="Calibri" w:cs="Arial"/>
          <w:rtl/>
          <w:sz w:val="24"/>
          <w:szCs w:val="24"/>
        </w:rPr>
        <w:t xml:space="preserve">1.2. تذكر إعلانات الوظائف المنصب ونطاق الأجر وساعات العمل والموقع والمزايا بصدق، ولا تتضمن أي شرط يتعلق بالجنس أو الدين أو الحالة الاجتماعية أو الحمل أو أي معايير تمييزية أخرى (EMS.İK.PRO.01.10.).</w:t>
      </w:r>
    </w:p>
    <w:p>
      <w:pPr>
        <w:pStyle w:val="ListeParagraf"/>
        <w:bidi/>
        <w:spacing w:after="80"/>
        <w:ind w:left="0" w:right="709"/>
        <w:jc w:val="both"/>
      </w:pPr>
      <w:r>
        <w:rPr>
          <w:rFonts w:ascii="Calibri" w:hAnsi="Calibri" w:cs="Arial"/>
          <w:rtl/>
          <w:sz w:val="24"/>
          <w:szCs w:val="24"/>
        </w:rPr>
        <w:t xml:space="preserve">1.3. تنص الإعلانات بوضوح على أن EMS لا تتقاضى أي رسوم، وأن على العمال إبلاغ الموارد البشرية بأي طلب للدفع.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اختيار الوكالات واعتمادها</w:t>
      </w:r>
    </w:p>
    <w:p>
      <w:pPr>
        <w:pStyle w:val="ListeParagraf"/>
        <w:bidi/>
        <w:spacing w:after="80"/>
        <w:ind w:left="0" w:right="709"/>
        <w:jc w:val="both"/>
      </w:pPr>
      <w:r>
        <w:rPr>
          <w:rFonts w:ascii="Calibri" w:hAnsi="Calibri" w:cs="Arial"/>
          <w:rtl/>
          <w:sz w:val="24"/>
          <w:szCs w:val="24"/>
        </w:rPr>
        <w:t xml:space="preserve">2.1. قبل التعاقد، يجري مدير الامتثال الاجتماعي العناية الواجبة: الترخيص القانوني والملكية والسمعة وهيكل الرسوم وعقود العمال وممارسات الدفع والشكاوى السابقة.</w:t>
      </w:r>
    </w:p>
    <w:p>
      <w:pPr>
        <w:pStyle w:val="ListeParagraf"/>
        <w:bidi/>
        <w:spacing w:after="80"/>
        <w:ind w:left="0" w:right="709"/>
        <w:jc w:val="both"/>
      </w:pPr>
      <w:r>
        <w:rPr>
          <w:rFonts w:ascii="Calibri" w:hAnsi="Calibri" w:cs="Arial"/>
          <w:rtl/>
          <w:sz w:val="24"/>
          <w:szCs w:val="24"/>
        </w:rPr>
        <w:t xml:space="preserve">2.2. لا تُعتمد إلا الوكالات التي تقبل سياسة عدم تحصيل الرسوم ومدونة سلوك الموردين الخاصة بـ EMS وحق التدقيق، وتُدرج في قائمة وكالات التوظيف المعتمدة.</w:t>
      </w:r>
    </w:p>
    <w:p>
      <w:pPr>
        <w:pStyle w:val="ListeParagraf"/>
        <w:bidi/>
        <w:spacing w:after="80"/>
        <w:ind w:left="0" w:right="709"/>
        <w:jc w:val="both"/>
      </w:pPr>
      <w:r>
        <w:rPr>
          <w:rFonts w:ascii="Calibri" w:hAnsi="Calibri" w:cs="Arial"/>
          <w:rtl/>
          <w:sz w:val="24"/>
          <w:szCs w:val="24"/>
        </w:rPr>
        <w:t xml:space="preserve">2.3. ينص عقد الوكالة على رسوم الخدمة التي تدفعها EMS، وعلى وجوب دفع أجر ومزايا لا تقل عما يحصل عليه الموظفون المباشرون عن العمل نفسه، والتزامات التأمين الاجتماعي، والإنهاء في حال المخالفات الجسيمة.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المعلومات قبل التوظيف والتعيين</w:t>
      </w:r>
    </w:p>
    <w:p>
      <w:pPr>
        <w:pStyle w:val="ListeParagraf"/>
        <w:bidi/>
        <w:spacing w:after="80"/>
        <w:ind w:left="0" w:right="709"/>
        <w:jc w:val="both"/>
      </w:pPr>
      <w:r>
        <w:rPr>
          <w:rFonts w:ascii="Calibri" w:hAnsi="Calibri" w:cs="Arial"/>
          <w:rtl/>
          <w:sz w:val="24"/>
          <w:szCs w:val="24"/>
        </w:rPr>
        <w:t xml:space="preserve">3.1. قبل التعيين، يتلقى كل مرشح شرحًا واضحًا باللغة العربية أو بلغة يفهمها عن الوظيفة والأجر وساعات العمل وقواعد العمل الإضافي والإجازات والاستقطاعات؛ وتُسلَّم للعامل نسخ مكتوبة من العقد.</w:t>
      </w:r>
    </w:p>
    <w:p>
      <w:pPr>
        <w:pStyle w:val="ListeParagraf"/>
        <w:bidi/>
        <w:spacing w:after="80"/>
        <w:ind w:left="0" w:right="709"/>
        <w:jc w:val="both"/>
      </w:pPr>
      <w:r>
        <w:rPr>
          <w:rFonts w:ascii="Calibri" w:hAnsi="Calibri" w:cs="Arial"/>
          <w:rtl/>
          <w:sz w:val="24"/>
          <w:szCs w:val="24"/>
        </w:rPr>
        <w:t xml:space="preserve">3.2. يُتحقق من السن والهوية شخصيًا على المستندات الأصلية كما هو موضح في EMS.İK.TL.01.02.؛ وتُحفظ النسخ وتُعاد الأصول فورًا.</w:t>
      </w:r>
    </w:p>
    <w:p>
      <w:pPr>
        <w:pStyle w:val="ListeParagraf"/>
        <w:bidi/>
        <w:spacing w:after="80"/>
        <w:ind w:left="0" w:right="709"/>
        <w:jc w:val="both"/>
      </w:pPr>
      <w:r>
        <w:rPr>
          <w:rFonts w:ascii="Calibri" w:hAnsi="Calibri" w:cs="Arial"/>
          <w:rtl/>
          <w:sz w:val="24"/>
          <w:szCs w:val="24"/>
        </w:rPr>
        <w:t xml:space="preserve">3.3. أثناء التهيئة، تسأل الموارد البشرية كل عامل جديد في مقابلة قصيرة سرية عما إذا كان قد دفع أي مال أو وقّع على أي قرض للحصول على الوظيفة؛ وتُسجَّل الإجابات.</w:t>
      </w:r>
    </w:p>
    <w:p>
      <w:pPr>
        <w:pStyle w:val="ListeParagraf"/>
        <w:bidi/>
        <w:spacing w:after="80"/>
        <w:ind w:left="0" w:right="709"/>
        <w:jc w:val="both"/>
      </w:pPr>
      <w:r>
        <w:rPr>
          <w:rFonts w:ascii="Calibri" w:hAnsi="Calibri" w:cs="Arial"/>
          <w:rtl/>
          <w:sz w:val="24"/>
          <w:szCs w:val="24"/>
        </w:rPr>
        <w:t xml:space="preserve">3.4. تُرد أي رسوم ثبت أن العامل دفعها كاملةً من قِبل EMS خلال فترة أجر واحدة، وتُحمَّل على الوكالة التي توضع تحت إجراء 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حرية التنقل وشروط التوظيف</w:t>
      </w:r>
    </w:p>
    <w:p>
      <w:pPr>
        <w:pStyle w:val="ListeParagraf"/>
        <w:bidi/>
        <w:spacing w:after="80"/>
        <w:ind w:left="0" w:right="709"/>
        <w:jc w:val="both"/>
      </w:pPr>
      <w:r>
        <w:rPr>
          <w:rFonts w:ascii="Calibri" w:hAnsi="Calibri" w:cs="Arial"/>
          <w:rtl/>
          <w:sz w:val="24"/>
          <w:szCs w:val="24"/>
        </w:rPr>
        <w:t xml:space="preserve">4.1. لا تحتفظ EMS ولا الوكالات أبدًا بأصول مستندات هوية العمال أو جوازات سفرهم أو شهاداتهم أو بطاقاتهم المصرفية، ولا تطلب منهم تأمينات أو ضمانات.</w:t>
      </w:r>
    </w:p>
    <w:p>
      <w:pPr>
        <w:pStyle w:val="ListeParagraf"/>
        <w:bidi/>
        <w:spacing w:after="80"/>
        <w:ind w:left="0" w:right="709"/>
        <w:jc w:val="both"/>
      </w:pPr>
      <w:r>
        <w:rPr>
          <w:rFonts w:ascii="Calibri" w:hAnsi="Calibri" w:cs="Arial"/>
          <w:rtl/>
          <w:sz w:val="24"/>
          <w:szCs w:val="24"/>
        </w:rPr>
        <w:t xml:space="preserve">4.2. للعمال حرية الاستقالة مع مراعاة مهلة الإخطار القانونية، وحرية مغادرة المقر بعد ورديتهم؛ ولا تُستخدم أي غرامة أو دين لمنع الاستقالة.</w:t>
      </w:r>
    </w:p>
    <w:p>
      <w:pPr>
        <w:pStyle w:val="ListeParagraf"/>
        <w:bidi/>
        <w:spacing w:after="80"/>
        <w:ind w:left="0" w:right="709"/>
        <w:jc w:val="both"/>
      </w:pPr>
      <w:r>
        <w:rPr>
          <w:rFonts w:ascii="Calibri" w:hAnsi="Calibri" w:cs="Arial"/>
          <w:rtl/>
          <w:sz w:val="24"/>
          <w:szCs w:val="24"/>
        </w:rPr>
        <w:t xml:space="preserve">4.3. يحصل عمال الوكالات على نفس ما يحصل عليه الموظفون المباشرون من المقصف والنقل ومعدات الوقاية الشخصية والتدريب وقنوات الشكاوى وتمثيل العمال (EMS.İK.PRO.01.17.).</w:t>
      </w:r>
    </w:p>
    <w:p>
      <w:pPr>
        <w:pStyle w:val="ListeParagraf"/>
        <w:bidi/>
        <w:spacing w:after="80"/>
        <w:ind w:left="0" w:right="709"/>
        <w:jc w:val="both"/>
      </w:pPr>
      <w:r>
        <w:rPr>
          <w:rFonts w:ascii="Calibri" w:hAnsi="Calibri" w:cs="Arial"/>
          <w:rtl/>
          <w:sz w:val="24"/>
          <w:szCs w:val="24"/>
        </w:rPr>
        <w:t xml:space="preserve">4.4. تراجع الموارد البشرية كشوف أجور الوكالات شهريًا مقابل سجلات الحضور للتأكد من صرف الأجور والعمل الإضافي والتأمين الاجتماعي بشكل صحيح وفي موعده.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متابعة الوكالات وتدقيقها</w:t>
      </w:r>
    </w:p>
    <w:p>
      <w:pPr>
        <w:pStyle w:val="ListeParagraf"/>
        <w:bidi/>
        <w:spacing w:after="80"/>
        <w:ind w:left="0" w:right="709"/>
        <w:jc w:val="both"/>
      </w:pPr>
      <w:r>
        <w:rPr>
          <w:rFonts w:ascii="Calibri" w:hAnsi="Calibri" w:cs="Arial"/>
          <w:rtl/>
          <w:sz w:val="24"/>
          <w:szCs w:val="24"/>
        </w:rPr>
        <w:t xml:space="preserve">5.1. تُدقَّق كل وكالة معتمدة مرة واحدة سنويًا على الأقل، بما في ذلك مقابلة عينة من عمالها دون حضور موظفي الوكالة.</w:t>
      </w:r>
    </w:p>
    <w:p>
      <w:pPr>
        <w:pStyle w:val="ListeParagraf"/>
        <w:bidi/>
        <w:spacing w:after="80"/>
        <w:ind w:left="0" w:right="709"/>
        <w:jc w:val="both"/>
      </w:pPr>
      <w:r>
        <w:rPr>
          <w:rFonts w:ascii="Calibri" w:hAnsi="Calibri" w:cs="Arial"/>
          <w:rtl/>
          <w:sz w:val="24"/>
          <w:szCs w:val="24"/>
        </w:rPr>
        <w:t xml:space="preserve">5.2. تُسجَّل النتائج في خطة إجراءات تصحيحية ذات مواعيد نهائية؛ وتؤدي المخالفات الجسيمة مثل تحصيل الرسوم أو احتجاز المستندات أو عدم دفع الأجور إلى تعليق التعامل مع الوكالة.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ترفع الموارد البشرية ومدير الامتثال الاجتماعي المؤشرات التالية كل ثلاثة أشهر إلى مراجعة الإدارة:</w:t>
      </w:r>
    </w:p>
    <w:p>
      <w:pPr>
        <w:pStyle w:val="ListeParagraf"/>
        <w:numPr>
          <w:ilvl w:val="0"/>
          <w:numId w:val="1"/>
        </w:numPr>
        <w:bidi/>
        <w:spacing w:after="60"/>
        <w:jc w:val="both"/>
      </w:pPr>
      <w:r>
        <w:rPr>
          <w:rFonts w:ascii="Calibri" w:hAnsi="Calibri" w:cs="Arial"/>
          <w:rtl/>
          <w:sz w:val="24"/>
          <w:szCs w:val="24"/>
        </w:rPr>
        <w:t xml:space="preserve">عدد العمال الذين أفادوا بدفع رسوم توظيف (الهدف: صفر)،</w:t>
      </w:r>
    </w:p>
    <w:p>
      <w:pPr>
        <w:pStyle w:val="ListeParagraf"/>
        <w:numPr>
          <w:ilvl w:val="0"/>
          <w:numId w:val="1"/>
        </w:numPr>
        <w:bidi/>
        <w:spacing w:after="60"/>
        <w:jc w:val="both"/>
      </w:pPr>
      <w:r>
        <w:rPr>
          <w:rFonts w:ascii="Calibri" w:hAnsi="Calibri" w:cs="Arial"/>
          <w:rtl/>
          <w:sz w:val="24"/>
          <w:szCs w:val="24"/>
        </w:rPr>
        <w:t xml:space="preserve">إجمالي المبالغ المردودة إلى العمال،</w:t>
      </w:r>
    </w:p>
    <w:p>
      <w:pPr>
        <w:pStyle w:val="ListeParagraf"/>
        <w:numPr>
          <w:ilvl w:val="0"/>
          <w:numId w:val="1"/>
        </w:numPr>
        <w:bidi/>
        <w:spacing w:after="60"/>
        <w:jc w:val="both"/>
      </w:pPr>
      <w:r>
        <w:rPr>
          <w:rFonts w:ascii="Calibri" w:hAnsi="Calibri" w:cs="Arial"/>
          <w:rtl/>
          <w:sz w:val="24"/>
          <w:szCs w:val="24"/>
        </w:rPr>
        <w:t xml:space="preserve">نسبة الوكالات التي تم تدقيقها خلال السنة (الهدف: 100%)،</w:t>
      </w:r>
    </w:p>
    <w:p>
      <w:pPr>
        <w:pStyle w:val="ListeParagraf"/>
        <w:numPr>
          <w:ilvl w:val="0"/>
          <w:numId w:val="1"/>
        </w:numPr>
        <w:bidi/>
        <w:spacing w:after="60"/>
        <w:jc w:val="both"/>
      </w:pPr>
      <w:r>
        <w:rPr>
          <w:rFonts w:ascii="Calibri" w:hAnsi="Calibri" w:cs="Arial"/>
          <w:rtl/>
          <w:sz w:val="24"/>
          <w:szCs w:val="24"/>
        </w:rPr>
        <w:t xml:space="preserve">نسبة عمال الوكالات الذين صُرفت أجورهم بشكل صحيح وفي موعدها (الهدف: 100%).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وكالات التوظيف المعتمدة، وتقارير العناية الواجبة والتدقيق على الوكالات</w:t>
      </w:r>
    </w:p>
    <w:p>
      <w:pPr>
        <w:pStyle w:val="ListeParagraf"/>
        <w:numPr>
          <w:ilvl w:val="0"/>
          <w:numId w:val="1"/>
        </w:numPr>
        <w:bidi/>
        <w:spacing w:after="60"/>
        <w:jc w:val="both"/>
      </w:pPr>
      <w:r>
        <w:rPr>
          <w:rFonts w:ascii="Calibri" w:hAnsi="Calibri" w:cs="Arial"/>
          <w:rtl/>
          <w:sz w:val="24"/>
          <w:szCs w:val="24"/>
        </w:rPr>
        <w:t xml:space="preserve">عقود الوكالات وخطط الإجراءات التصحيحية</w:t>
      </w:r>
    </w:p>
    <w:p>
      <w:pPr>
        <w:pStyle w:val="ListeParagraf"/>
        <w:numPr>
          <w:ilvl w:val="0"/>
          <w:numId w:val="1"/>
        </w:numPr>
        <w:bidi/>
        <w:spacing w:after="60"/>
        <w:jc w:val="both"/>
      </w:pPr>
      <w:r>
        <w:rPr>
          <w:rFonts w:ascii="Calibri" w:hAnsi="Calibri" w:cs="Arial"/>
          <w:rtl/>
          <w:sz w:val="24"/>
          <w:szCs w:val="24"/>
        </w:rPr>
        <w:t xml:space="preserve">نماذج مقابلة الرسوم للعمال الجدد وسجلات الرد</w:t>
      </w:r>
    </w:p>
    <w:p>
      <w:pPr>
        <w:pStyle w:val="ListeParagraf"/>
        <w:numPr>
          <w:ilvl w:val="0"/>
          <w:numId w:val="1"/>
        </w:numPr>
        <w:bidi/>
        <w:spacing w:after="60"/>
        <w:jc w:val="both"/>
      </w:pPr>
      <w:r>
        <w:rPr>
          <w:rFonts w:ascii="Calibri" w:hAnsi="Calibri" w:cs="Arial"/>
          <w:rtl/>
          <w:sz w:val="24"/>
          <w:szCs w:val="24"/>
        </w:rPr>
        <w:t xml:space="preserve">EMS.İK.PRO.01.08. إجراء التوظيف وإنهاء الخدمة</w:t>
      </w:r>
    </w:p>
    <w:p>
      <w:pPr>
        <w:pStyle w:val="ListeParagraf"/>
        <w:numPr>
          <w:ilvl w:val="0"/>
          <w:numId w:val="1"/>
        </w:numPr>
        <w:bidi/>
        <w:spacing w:after="60"/>
        <w:jc w:val="both"/>
      </w:pPr>
      <w:r>
        <w:rPr>
          <w:rFonts w:ascii="Calibri" w:hAnsi="Calibri" w:cs="Arial"/>
          <w:rtl/>
          <w:sz w:val="24"/>
          <w:szCs w:val="24"/>
        </w:rPr>
        <w:t xml:space="preserve">EMS.İK.PRO.01.01. إجراء عمالة الأطفال</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يمكن للعمال الإبلاغ بسرية عن أي رسوم توظيف أو احتجاز للمستندات أو ممارسات غير عادلة من الوكالات عبر آلية الشكاوى (EMS.İK.PRO.01.07.) دون خوف من الانتقام. ويراجع هذا الإجراء سنويًا من قِبل الموارد البشرية ومدير الامتثال الاجتماعي، وبعد أي ملاحظة جسيمة.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RESPONSIBLE RECRUITMENT AND LABOUR AGENCIES PROCEDURE</w:t>
          </w:r>
        </w:p>
        <w:p>
          <w:pPr>
            <w:pStyle w:val="GvdeMetni2"/>
            <w:bidi/>
            <w:spacing w:line="276" w:lineRule="auto"/>
            <w:jc w:val="center"/>
          </w:pPr>
          <w:r>
            <w:rPr>
              <w:rFonts w:asciiTheme="minorHAnsi" w:hAnsiTheme="minorHAnsi" w:cs="Arial"/>
              <w:b/>
              <w:bCs/>
              <w:color w:val="000000" w:themeColor="text1"/>
              <w:sz w:val="22"/>
              <w:szCs w:val="22"/>
              <w:rtl/>
            </w:rPr>
            <w:t>إجراء التوظيف المسؤول ووكالات التوظيف</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EMS.İK.PRO.01.18. RESPONSIBLE RECRUITMENT AND LABOUR AGENCIES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