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grievance and suggestion boxes are placed, opened, recorded and answered at Eroglu Knitting (EMS), so that workers can raise concerns anonymously and confidentially and receive a response, as part of the grievance mechanism defined in EMS.İK.PRO.01.07.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grievance and suggestion boxes on EMS premises and to the grievance committee members who open and handle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Holds one of the keys, chairs box opening, ensures confidentiality and follows up responses.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w:t>
      </w:r>
      <w:r>
        <w:rPr>
          <w:rFonts w:ascii="Calibri" w:hAnsi="Calibri" w:cs="Arial"/>
          <w:sz w:val="24"/>
          <w:szCs w:val="24"/>
        </w:rPr>
        <w:t xml:space="preserve"> Holds the second key, attends every box opening and signs the opening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Investigates grievances assigned to HR and ensures that no retaliation occurs.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Take action on grievances related to their department within the agreed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Box:</w:t>
      </w:r>
      <w:r>
        <w:rPr>
          <w:rFonts w:ascii="Calibri" w:hAnsi="Calibri" w:cs="Arial"/>
          <w:sz w:val="24"/>
          <w:szCs w:val="24"/>
        </w:rPr>
        <w:t xml:space="preserve"> A locked box for written complaints and suggestions, placed where workers can use it without being seen by supervisors or CCTV.</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Opening Record:</w:t>
      </w:r>
      <w:r>
        <w:rPr>
          <w:rFonts w:ascii="Calibri" w:hAnsi="Calibri" w:cs="Arial"/>
          <w:sz w:val="24"/>
          <w:szCs w:val="24"/>
        </w:rPr>
        <w:t xml:space="preserve"> The form on which the date, attendees and number of notes found at each box opening are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PLACEMENT OF BOXES</w:t>
      </w:r>
    </w:p>
    <w:p>
      <w:pPr>
        <w:pStyle w:val="ListeParagraf"/>
        <w:spacing w:after="80"/>
        <w:ind w:left="709" w:right="0"/>
        <w:jc w:val="both"/>
      </w:pPr>
      <w:r>
        <w:rPr>
          <w:rFonts w:ascii="Calibri" w:hAnsi="Calibri" w:cs="Arial"/>
          <w:sz w:val="24"/>
          <w:szCs w:val="24"/>
        </w:rPr>
        <w:t xml:space="preserve">1.1. Place boxes in each production hall, the canteen and near the toilets, in places that are accessible to all workers including persons with disabilities and not covered by CCTV.</w:t>
      </w:r>
    </w:p>
    <w:p>
      <w:pPr>
        <w:pStyle w:val="ListeParagraf"/>
        <w:spacing w:after="80"/>
        <w:ind w:left="709" w:right="0"/>
        <w:jc w:val="both"/>
      </w:pPr>
      <w:r>
        <w:rPr>
          <w:rFonts w:ascii="Calibri" w:hAnsi="Calibri" w:cs="Arial"/>
          <w:sz w:val="24"/>
          <w:szCs w:val="24"/>
        </w:rPr>
        <w:t xml:space="preserve">1.2. Each box has two different locks; one key is held by the Social Compliance Manager and the other by a worker representative.</w:t>
      </w:r>
    </w:p>
    <w:p>
      <w:pPr>
        <w:pStyle w:val="ListeParagraf"/>
        <w:spacing w:after="80"/>
        <w:ind w:left="709" w:right="0"/>
        <w:jc w:val="both"/>
      </w:pPr>
      <w:r>
        <w:rPr>
          <w:rFonts w:ascii="Calibri" w:hAnsi="Calibri" w:cs="Arial"/>
          <w:sz w:val="24"/>
          <w:szCs w:val="24"/>
        </w:rPr>
        <w:t xml:space="preserve">1.3. Keep paper and pens next to each box and post a notice in Arabic explaining how the box works, the opening days and that anonymous notes are accepted.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OPENING AND RECORDING</w:t>
      </w:r>
    </w:p>
    <w:p>
      <w:pPr>
        <w:pStyle w:val="ListeParagraf"/>
        <w:spacing w:after="80"/>
        <w:ind w:left="709" w:right="0"/>
        <w:jc w:val="both"/>
      </w:pPr>
      <w:r>
        <w:rPr>
          <w:rFonts w:ascii="Calibri" w:hAnsi="Calibri" w:cs="Arial"/>
          <w:sz w:val="24"/>
          <w:szCs w:val="24"/>
        </w:rPr>
        <w:t xml:space="preserve">2.1. Open the boxes at least once a week on a fixed day, always with both key holders present; never open a box alone.</w:t>
      </w:r>
    </w:p>
    <w:p>
      <w:pPr>
        <w:pStyle w:val="ListeParagraf"/>
        <w:spacing w:after="80"/>
        <w:ind w:left="709" w:right="0"/>
        <w:jc w:val="both"/>
      </w:pPr>
      <w:r>
        <w:rPr>
          <w:rFonts w:ascii="Calibri" w:hAnsi="Calibri" w:cs="Arial"/>
          <w:sz w:val="24"/>
          <w:szCs w:val="24"/>
        </w:rPr>
        <w:t xml:space="preserve">2.2. Count the notes, record the number on the opening record and give each note a reference number in the grievance register.</w:t>
      </w:r>
    </w:p>
    <w:p>
      <w:pPr>
        <w:pStyle w:val="ListeParagraf"/>
        <w:spacing w:after="80"/>
        <w:ind w:left="709" w:right="0"/>
        <w:jc w:val="both"/>
      </w:pPr>
      <w:r>
        <w:rPr>
          <w:rFonts w:ascii="Calibri" w:hAnsi="Calibri" w:cs="Arial"/>
          <w:sz w:val="24"/>
          <w:szCs w:val="24"/>
        </w:rPr>
        <w:t xml:space="preserve">2.3. Classify each note: grievance, suggestion or question; and its subject such as wages, working hours, OHS, harassment, canteen or supervisor behaviour.</w:t>
      </w:r>
    </w:p>
    <w:p>
      <w:pPr>
        <w:pStyle w:val="ListeParagraf"/>
        <w:spacing w:after="80"/>
        <w:ind w:left="709" w:right="0"/>
        <w:jc w:val="both"/>
      </w:pPr>
      <w:r>
        <w:rPr>
          <w:rFonts w:ascii="Calibri" w:hAnsi="Calibri" w:cs="Arial"/>
          <w:sz w:val="24"/>
          <w:szCs w:val="24"/>
        </w:rPr>
        <w:t xml:space="preserve">2.4. Keep the original notes in a locked file; share only the content needed for investigation, without names or handwriting copies.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HANDLING AND RESPONSE</w:t>
      </w:r>
    </w:p>
    <w:p>
      <w:pPr>
        <w:pStyle w:val="ListeParagraf"/>
        <w:spacing w:after="80"/>
        <w:ind w:left="709" w:right="0"/>
        <w:jc w:val="both"/>
      </w:pPr>
      <w:r>
        <w:rPr>
          <w:rFonts w:ascii="Calibri" w:hAnsi="Calibri" w:cs="Arial"/>
          <w:sz w:val="24"/>
          <w:szCs w:val="24"/>
        </w:rPr>
        <w:t xml:space="preserve">3.1. Urgent issues (harassment, abuse, serious OHS risk, child labour) are reported on the same day to the General Manager and handled under the related procedure (for example EMS.İK.PRO.01.02.).</w:t>
      </w:r>
    </w:p>
    <w:p>
      <w:pPr>
        <w:pStyle w:val="ListeParagraf"/>
        <w:spacing w:after="80"/>
        <w:ind w:left="709" w:right="0"/>
        <w:jc w:val="both"/>
      </w:pPr>
      <w:r>
        <w:rPr>
          <w:rFonts w:ascii="Calibri" w:hAnsi="Calibri" w:cs="Arial"/>
          <w:sz w:val="24"/>
          <w:szCs w:val="24"/>
        </w:rPr>
        <w:t xml:space="preserve">3.2. Other issues are assigned to the responsible manager, who investigates and proposes an action; the target time for a response is 7 working days.</w:t>
      </w:r>
    </w:p>
    <w:p>
      <w:pPr>
        <w:pStyle w:val="ListeParagraf"/>
        <w:spacing w:after="80"/>
        <w:ind w:left="709" w:right="0"/>
        <w:jc w:val="both"/>
      </w:pPr>
      <w:r>
        <w:rPr>
          <w:rFonts w:ascii="Calibri" w:hAnsi="Calibri" w:cs="Arial"/>
          <w:sz w:val="24"/>
          <w:szCs w:val="24"/>
        </w:rPr>
        <w:t xml:space="preserve">3.3. Responses are posted on the notice board next to the box, without any information that could identify the writer; named writers receive a personal answer if they wish.</w:t>
      </w:r>
    </w:p>
    <w:p>
      <w:pPr>
        <w:pStyle w:val="ListeParagraf"/>
        <w:spacing w:after="80"/>
        <w:ind w:left="709" w:right="0"/>
        <w:jc w:val="both"/>
      </w:pPr>
      <w:r>
        <w:rPr>
          <w:rFonts w:ascii="Calibri" w:hAnsi="Calibri" w:cs="Arial"/>
          <w:sz w:val="24"/>
          <w:szCs w:val="24"/>
        </w:rPr>
        <w:t xml:space="preserve">3.4. Close the record in the grievance register when the action is done and the response is posted.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try to identify the writer of an anonymous note, by handwriting or any other way.</w:t>
      </w:r>
    </w:p>
    <w:p>
      <w:pPr>
        <w:pStyle w:val="ListeParagraf"/>
        <w:numPr>
          <w:ilvl w:val="0"/>
          <w:numId w:val="1"/>
        </w:numPr>
        <w:spacing w:after="60"/>
        <w:jc w:val="both"/>
      </w:pPr>
      <w:r>
        <w:rPr>
          <w:rFonts w:ascii="Calibri" w:hAnsi="Calibri" w:cs="Arial"/>
          <w:sz w:val="24"/>
          <w:szCs w:val="24"/>
        </w:rPr>
        <w:t xml:space="preserve">Do not let supervisors or managers watch who uses the boxes.</w:t>
      </w:r>
    </w:p>
    <w:p>
      <w:pPr>
        <w:pStyle w:val="ListeParagraf"/>
        <w:numPr>
          <w:ilvl w:val="0"/>
          <w:numId w:val="1"/>
        </w:numPr>
        <w:spacing w:after="60"/>
        <w:jc w:val="both"/>
      </w:pPr>
      <w:r>
        <w:rPr>
          <w:rFonts w:ascii="Calibri" w:hAnsi="Calibri" w:cs="Arial"/>
          <w:sz w:val="24"/>
          <w:szCs w:val="24"/>
        </w:rPr>
        <w:t xml:space="preserve">Do not punish, threaten or disadvantage any worker for using the box.</w:t>
      </w:r>
    </w:p>
    <w:p>
      <w:pPr>
        <w:pStyle w:val="ListeParagraf"/>
        <w:numPr>
          <w:ilvl w:val="0"/>
          <w:numId w:val="1"/>
        </w:numPr>
        <w:spacing w:after="60"/>
        <w:jc w:val="both"/>
      </w:pPr>
      <w:r>
        <w:rPr>
          <w:rFonts w:ascii="Calibri" w:hAnsi="Calibri" w:cs="Arial"/>
          <w:sz w:val="24"/>
          <w:szCs w:val="24"/>
        </w:rPr>
        <w:t xml:space="preserve">Do not destroy or ignore any note, even if it seems unimportant.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EMS.İK.PRO.01.07. Grievance Procedure</w:t>
      </w:r>
    </w:p>
    <w:p>
      <w:pPr>
        <w:pStyle w:val="ListeParagraf"/>
        <w:numPr>
          <w:ilvl w:val="0"/>
          <w:numId w:val="1"/>
        </w:numPr>
        <w:spacing w:after="60"/>
        <w:jc w:val="both"/>
      </w:pPr>
      <w:r>
        <w:rPr>
          <w:rFonts w:ascii="Calibri" w:hAnsi="Calibri" w:cs="Arial"/>
          <w:sz w:val="24"/>
          <w:szCs w:val="24"/>
        </w:rPr>
        <w:t xml:space="preserve">EMS.İK.PRO.01.02. Harassment Procedure</w:t>
      </w:r>
    </w:p>
    <w:p>
      <w:pPr>
        <w:pStyle w:val="ListeParagraf"/>
        <w:numPr>
          <w:ilvl w:val="0"/>
          <w:numId w:val="1"/>
        </w:numPr>
        <w:spacing w:after="60"/>
        <w:jc w:val="both"/>
      </w:pPr>
      <w:r>
        <w:rPr>
          <w:rFonts w:ascii="Calibri" w:hAnsi="Calibri" w:cs="Arial"/>
          <w:sz w:val="24"/>
          <w:szCs w:val="24"/>
        </w:rPr>
        <w:t xml:space="preserve">EMS.İK.PRO.01.17. Worker Representative Election and Social Dialogue Procedure</w:t>
      </w:r>
    </w:p>
    <w:p>
      <w:pPr>
        <w:pStyle w:val="ListeParagraf"/>
        <w:numPr>
          <w:ilvl w:val="0"/>
          <w:numId w:val="1"/>
        </w:numPr>
        <w:spacing w:after="60"/>
        <w:jc w:val="both"/>
      </w:pPr>
      <w:r>
        <w:rPr>
          <w:rFonts w:ascii="Calibri" w:hAnsi="Calibri" w:cs="Arial"/>
          <w:sz w:val="24"/>
          <w:szCs w:val="24"/>
        </w:rPr>
        <w:t xml:space="preserve">Box opening records, grievance register, posted responses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Social Compliance Manager reports the number of notes, topics, average response time and open items monthly to the worker committee and the management review. This instruction is reviewed every year together with the worker representatives.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وضع صناديق الشكاوى والمقترحات وفتحها وتسجيل محتوياتها والرد عليها لدى شركة إيروغلو للتريكو (EMS)، بحيث يتمكن العمال من طرح مخاوفهم دون ذكر أسمائهم وبسرية تامة والحصول على رد، كجزء من آلية الشكاوى المحددة في EMS.İK.PRO.01.07.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صناديق الشكاوى والمقترحات داخل مقر EMS، وعلى أعضاء لجنة الشكاوى الذين يفتحونها ويتعاملون معها.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(CSR):</w:t>
      </w:r>
      <w:r>
        <w:rPr>
          <w:rFonts w:ascii="Calibri" w:hAnsi="Calibri" w:cs="Arial"/>
          <w:rtl/>
          <w:sz w:val="24"/>
          <w:szCs w:val="24"/>
        </w:rPr>
        <w:t xml:space="preserve"> يحتفظ بأحد المفتاحين، ويرأس عملية فتح الصناديق، ويضمن السرية، ويتابع الردود.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العمال:</w:t>
      </w:r>
      <w:r>
        <w:rPr>
          <w:rFonts w:ascii="Calibri" w:hAnsi="Calibri" w:cs="Arial"/>
          <w:rtl/>
          <w:sz w:val="24"/>
          <w:szCs w:val="24"/>
        </w:rPr>
        <w:t xml:space="preserve"> يحتفظ بالمفتاح الثاني، ويحضر كل عملية فتح للصندوق، ويوقّع على محضر الفتح.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يحقق في الشكاوى المحالة إلى الموارد البشرية، ويضمن عدم حدوث أي 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يتخذون الإجراءات اللازمة بشأن الشكاوى المتعلقة بأقسامهم خلال المدة المتفق عليها.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الشكاوى:</w:t>
      </w:r>
      <w:r>
        <w:rPr>
          <w:rFonts w:ascii="Calibri" w:hAnsi="Calibri" w:cs="Arial"/>
          <w:rtl/>
          <w:sz w:val="24"/>
          <w:szCs w:val="24"/>
        </w:rPr>
        <w:t xml:space="preserve"> صندوق مقفل للشكاوى والمقترحات المكتوبة، يوضع في مكان يمكن للعمال استخدامه دون أن يراهم المشرفون أو كاميرات المراقبة.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محضر الفتح:</w:t>
      </w:r>
      <w:r>
        <w:rPr>
          <w:rFonts w:ascii="Calibri" w:hAnsi="Calibri" w:cs="Arial"/>
          <w:rtl/>
          <w:sz w:val="24"/>
          <w:szCs w:val="24"/>
        </w:rPr>
        <w:t xml:space="preserve"> النموذج الذي يُسجل فيه تاريخ كل عملية فتح للصندوق والحاضرون وعدد الأوراق الموجودة.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وضع الصناديق</w:t>
      </w:r>
    </w:p>
    <w:p>
      <w:pPr>
        <w:pStyle w:val="ListeParagraf"/>
        <w:bidi/>
        <w:spacing w:after="80"/>
        <w:ind w:left="0" w:right="709"/>
        <w:jc w:val="both"/>
      </w:pPr>
      <w:r>
        <w:rPr>
          <w:rFonts w:ascii="Calibri" w:hAnsi="Calibri" w:cs="Arial"/>
          <w:rtl/>
          <w:sz w:val="24"/>
          <w:szCs w:val="24"/>
        </w:rPr>
        <w:t xml:space="preserve">1.1. ضع الصناديق في كل صالة إنتاج وفي المقصف وبالقرب من دورات المياه، في أماكن يسهل وصول جميع العمال إليها بما في ذلك الأشخاص ذوو الإعاقة، ولا تغطيها كاميرات المراقبة.</w:t>
      </w:r>
    </w:p>
    <w:p>
      <w:pPr>
        <w:pStyle w:val="ListeParagraf"/>
        <w:bidi/>
        <w:spacing w:after="80"/>
        <w:ind w:left="0" w:right="709"/>
        <w:jc w:val="both"/>
      </w:pPr>
      <w:r>
        <w:rPr>
          <w:rFonts w:ascii="Calibri" w:hAnsi="Calibri" w:cs="Arial"/>
          <w:rtl/>
          <w:sz w:val="24"/>
          <w:szCs w:val="24"/>
        </w:rPr>
        <w:t xml:space="preserve">1.2. لكل صندوق قفلان مختلفان؛ يحتفظ مدير الامتثال الاجتماعي بمفتاح أحدهما ويحتفظ أحد ممثلي العمال بمفتاح الآخر.</w:t>
      </w:r>
    </w:p>
    <w:p>
      <w:pPr>
        <w:pStyle w:val="ListeParagraf"/>
        <w:bidi/>
        <w:spacing w:after="80"/>
        <w:ind w:left="0" w:right="709"/>
        <w:jc w:val="both"/>
      </w:pPr>
      <w:r>
        <w:rPr>
          <w:rFonts w:ascii="Calibri" w:hAnsi="Calibri" w:cs="Arial"/>
          <w:rtl/>
          <w:sz w:val="24"/>
          <w:szCs w:val="24"/>
        </w:rPr>
        <w:t xml:space="preserve">1.3. ضع أوراقًا وأقلامًا بجوار كل صندوق، وعلّق إعلانًا باللغة العربية يشرح طريقة عمل الصندوق وأيام فتحه وقبول الأوراق غير الموقعة.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الفتح والتسجيل</w:t>
      </w:r>
    </w:p>
    <w:p>
      <w:pPr>
        <w:pStyle w:val="ListeParagraf"/>
        <w:bidi/>
        <w:spacing w:after="80"/>
        <w:ind w:left="0" w:right="709"/>
        <w:jc w:val="both"/>
      </w:pPr>
      <w:r>
        <w:rPr>
          <w:rFonts w:ascii="Calibri" w:hAnsi="Calibri" w:cs="Arial"/>
          <w:rtl/>
          <w:sz w:val="24"/>
          <w:szCs w:val="24"/>
        </w:rPr>
        <w:t xml:space="preserve">2.1. افتح الصناديق مرة واحدة أسبوعيًا على الأقل في يوم ثابت، وبحضور حاملي المفتاحين دائمًا؛ ولا تفتح أي صندوق بمفردك أبدًا.</w:t>
      </w:r>
    </w:p>
    <w:p>
      <w:pPr>
        <w:pStyle w:val="ListeParagraf"/>
        <w:bidi/>
        <w:spacing w:after="80"/>
        <w:ind w:left="0" w:right="709"/>
        <w:jc w:val="both"/>
      </w:pPr>
      <w:r>
        <w:rPr>
          <w:rFonts w:ascii="Calibri" w:hAnsi="Calibri" w:cs="Arial"/>
          <w:rtl/>
          <w:sz w:val="24"/>
          <w:szCs w:val="24"/>
        </w:rPr>
        <w:t xml:space="preserve">2.2. عُدّ الأوراق وسجّل عددها في محضر الفتح، وأعطِ كل ورقة رقمًا مرجعيًا في سجل الشكاوى.</w:t>
      </w:r>
    </w:p>
    <w:p>
      <w:pPr>
        <w:pStyle w:val="ListeParagraf"/>
        <w:bidi/>
        <w:spacing w:after="80"/>
        <w:ind w:left="0" w:right="709"/>
        <w:jc w:val="both"/>
      </w:pPr>
      <w:r>
        <w:rPr>
          <w:rFonts w:ascii="Calibri" w:hAnsi="Calibri" w:cs="Arial"/>
          <w:rtl/>
          <w:sz w:val="24"/>
          <w:szCs w:val="24"/>
        </w:rPr>
        <w:t xml:space="preserve">2.3. صنّف كل ورقة: شكوى أو اقتراح أو استفسار؛ وحدد موضوعها مثل الأجور أو ساعات العمل أو السلامة والصحة المهنية أو التحرش أو المقصف أو سلوك المشرف.</w:t>
      </w:r>
    </w:p>
    <w:p>
      <w:pPr>
        <w:pStyle w:val="ListeParagraf"/>
        <w:bidi/>
        <w:spacing w:after="80"/>
        <w:ind w:left="0" w:right="709"/>
        <w:jc w:val="both"/>
      </w:pPr>
      <w:r>
        <w:rPr>
          <w:rFonts w:ascii="Calibri" w:hAnsi="Calibri" w:cs="Arial"/>
          <w:rtl/>
          <w:sz w:val="24"/>
          <w:szCs w:val="24"/>
        </w:rPr>
        <w:t xml:space="preserve">2.4. احفظ الأوراق الأصلية في ملف مقفل؛ ولا تشارك إلا المحتوى اللازم للتحقيق، دون أسماء أو نسخ من خط اليد.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المعالجة والرد</w:t>
      </w:r>
    </w:p>
    <w:p>
      <w:pPr>
        <w:pStyle w:val="ListeParagraf"/>
        <w:bidi/>
        <w:spacing w:after="80"/>
        <w:ind w:left="0" w:right="709"/>
        <w:jc w:val="both"/>
      </w:pPr>
      <w:r>
        <w:rPr>
          <w:rFonts w:ascii="Calibri" w:hAnsi="Calibri" w:cs="Arial"/>
          <w:rtl/>
          <w:sz w:val="24"/>
          <w:szCs w:val="24"/>
        </w:rPr>
        <w:t xml:space="preserve">3.1. تُرفع المسائل العاجلة (التحرش، الإساءة، خطر جسيم على السلامة والصحة المهنية، عمالة الأطفال) في اليوم نفسه إلى المدير العام، وتُعالج وفق الإجراء ذي الصلة (مثل EMS.İK.PRO.01.02.).</w:t>
      </w:r>
    </w:p>
    <w:p>
      <w:pPr>
        <w:pStyle w:val="ListeParagraf"/>
        <w:bidi/>
        <w:spacing w:after="80"/>
        <w:ind w:left="0" w:right="709"/>
        <w:jc w:val="both"/>
      </w:pPr>
      <w:r>
        <w:rPr>
          <w:rFonts w:ascii="Calibri" w:hAnsi="Calibri" w:cs="Arial"/>
          <w:rtl/>
          <w:sz w:val="24"/>
          <w:szCs w:val="24"/>
        </w:rPr>
        <w:t xml:space="preserve">3.2. تُحال المسائل الأخرى إلى المدير المسؤول الذي يحقق فيها ويقترح إجراءً؛ والمدة المستهدفة للرد هي 7 أيام عمل.</w:t>
      </w:r>
    </w:p>
    <w:p>
      <w:pPr>
        <w:pStyle w:val="ListeParagraf"/>
        <w:bidi/>
        <w:spacing w:after="80"/>
        <w:ind w:left="0" w:right="709"/>
        <w:jc w:val="both"/>
      </w:pPr>
      <w:r>
        <w:rPr>
          <w:rFonts w:ascii="Calibri" w:hAnsi="Calibri" w:cs="Arial"/>
          <w:rtl/>
          <w:sz w:val="24"/>
          <w:szCs w:val="24"/>
        </w:rPr>
        <w:t xml:space="preserve">3.3. تُعلن الردود على لوحة الإعلانات بجوار الصندوق، دون أي معلومات قد تكشف هوية الكاتب؛ ويتلقى الكاتب الذي ذكر اسمه ردًا شخصيًا إذا رغب في ذلك.</w:t>
      </w:r>
    </w:p>
    <w:p>
      <w:pPr>
        <w:pStyle w:val="ListeParagraf"/>
        <w:bidi/>
        <w:spacing w:after="80"/>
        <w:ind w:left="0" w:right="709"/>
        <w:jc w:val="both"/>
      </w:pPr>
      <w:r>
        <w:rPr>
          <w:rFonts w:ascii="Calibri" w:hAnsi="Calibri" w:cs="Arial"/>
          <w:rtl/>
          <w:sz w:val="24"/>
          <w:szCs w:val="24"/>
        </w:rPr>
        <w:t xml:space="preserve">3.4. أغلق السجل في سجل الشكاوى عند تنفيذ الإجراء وإعلان الرد.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تحاول التعرف على كاتب الورقة غير الموقعة، سواء من خط اليد أو بأي طريقة أخرى.</w:t>
      </w:r>
    </w:p>
    <w:p>
      <w:pPr>
        <w:pStyle w:val="ListeParagraf"/>
        <w:numPr>
          <w:ilvl w:val="0"/>
          <w:numId w:val="1"/>
        </w:numPr>
        <w:bidi/>
        <w:spacing w:after="60"/>
        <w:jc w:val="both"/>
      </w:pPr>
      <w:r>
        <w:rPr>
          <w:rFonts w:ascii="Calibri" w:hAnsi="Calibri" w:cs="Arial"/>
          <w:rtl/>
          <w:sz w:val="24"/>
          <w:szCs w:val="24"/>
        </w:rPr>
        <w:t xml:space="preserve">لا تسمح للمشرفين أو المديرين بمراقبة من يستخدم الصناديق.</w:t>
      </w:r>
    </w:p>
    <w:p>
      <w:pPr>
        <w:pStyle w:val="ListeParagraf"/>
        <w:numPr>
          <w:ilvl w:val="0"/>
          <w:numId w:val="1"/>
        </w:numPr>
        <w:bidi/>
        <w:spacing w:after="60"/>
        <w:jc w:val="both"/>
      </w:pPr>
      <w:r>
        <w:rPr>
          <w:rFonts w:ascii="Calibri" w:hAnsi="Calibri" w:cs="Arial"/>
          <w:rtl/>
          <w:sz w:val="24"/>
          <w:szCs w:val="24"/>
        </w:rPr>
        <w:t xml:space="preserve">لا تعاقب أي عامل أو تهدده أو تضره بسبب استخدامه للصندوق.</w:t>
      </w:r>
    </w:p>
    <w:p>
      <w:pPr>
        <w:pStyle w:val="ListeParagraf"/>
        <w:numPr>
          <w:ilvl w:val="0"/>
          <w:numId w:val="1"/>
        </w:numPr>
        <w:bidi/>
        <w:spacing w:after="60"/>
        <w:jc w:val="both"/>
      </w:pPr>
      <w:r>
        <w:rPr>
          <w:rFonts w:ascii="Calibri" w:hAnsi="Calibri" w:cs="Arial"/>
          <w:rtl/>
          <w:sz w:val="24"/>
          <w:szCs w:val="24"/>
        </w:rPr>
        <w:t xml:space="preserve">لا تتلف أي ورقة ولا تتجاهلها، حتى لو بدت غير مهمة.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EMS.İK.PRO.01.07. إجراء الشكاوى</w:t>
      </w:r>
    </w:p>
    <w:p>
      <w:pPr>
        <w:pStyle w:val="ListeParagraf"/>
        <w:numPr>
          <w:ilvl w:val="0"/>
          <w:numId w:val="1"/>
        </w:numPr>
        <w:bidi/>
        <w:spacing w:after="60"/>
        <w:jc w:val="both"/>
      </w:pPr>
      <w:r>
        <w:rPr>
          <w:rFonts w:ascii="Calibri" w:hAnsi="Calibri" w:cs="Arial"/>
          <w:rtl/>
          <w:sz w:val="24"/>
          <w:szCs w:val="24"/>
        </w:rPr>
        <w:t xml:space="preserve">EMS.İK.PRO.01.02. إجراء مكافحة التحرش</w:t>
      </w:r>
    </w:p>
    <w:p>
      <w:pPr>
        <w:pStyle w:val="ListeParagraf"/>
        <w:numPr>
          <w:ilvl w:val="0"/>
          <w:numId w:val="1"/>
        </w:numPr>
        <w:bidi/>
        <w:spacing w:after="60"/>
        <w:jc w:val="both"/>
      </w:pPr>
      <w:r>
        <w:rPr>
          <w:rFonts w:ascii="Calibri" w:hAnsi="Calibri" w:cs="Arial"/>
          <w:rtl/>
          <w:sz w:val="24"/>
          <w:szCs w:val="24"/>
        </w:rPr>
        <w:t xml:space="preserve">EMS.İK.PRO.01.17. إجراء انتخاب ممثلي العمال والحوار الاجتماعي</w:t>
      </w:r>
    </w:p>
    <w:p>
      <w:pPr>
        <w:pStyle w:val="ListeParagraf"/>
        <w:numPr>
          <w:ilvl w:val="0"/>
          <w:numId w:val="1"/>
        </w:numPr>
        <w:bidi/>
        <w:spacing w:after="60"/>
        <w:jc w:val="both"/>
      </w:pPr>
      <w:r>
        <w:rPr>
          <w:rFonts w:ascii="Calibri" w:hAnsi="Calibri" w:cs="Arial"/>
          <w:rtl/>
          <w:sz w:val="24"/>
          <w:szCs w:val="24"/>
        </w:rPr>
        <w:t xml:space="preserve">محاضر فتح الصناديق، وسجل الشكاوى، والردود المعلنة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يرفع مدير الامتثال الاجتماعي شهريًا إلى لجنة العمال ومراجعة الإدارة عدد الأوراق وموضوعاتها ومتوسط مدة الرد والمسائل المفتوحة. وتُراجع هذه التعليمات سنويًا بالتعاون مع ممثلي العمال.</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GRIEVANCE BOX HANDLING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التعامل مع صندوق الشكاوى</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EMS.İK.TL.01.03.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EMS.İK.TL.01.03. GRIEVANCE BOX HANDLING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