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lab-dips are prepared, assessed and approved at Eroglu Knitting (EMS), so that the colour recipe released to bulk dyeing matches the customer-approved colour, is reproducible on the production machine and is traceable through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colour matching work done in the laboratory and the dyehouse for customer, development and repeat orders, from the receipt of the colour standard to the release of the approved recipe to production, and to the personnel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Ensures that lab-dip work is planned, that only approved recipes go to bulk dyeing and that delays and failures are followed up.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Colourist:</w:t>
      </w:r>
      <w:r>
        <w:rPr>
          <w:rFonts w:ascii="Calibri" w:hAnsi="Calibri" w:cs="Arial"/>
          <w:sz w:val="24"/>
          <w:szCs w:val="24"/>
        </w:rPr>
        <w:t xml:space="preserve"> Prepares lab-dips, measures colour, evaluates metamerism and completes the lab colour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Merchandiser / Customer Representative:</w:t>
      </w:r>
      <w:r>
        <w:rPr>
          <w:rFonts w:ascii="Calibri" w:hAnsi="Calibri" w:cs="Arial"/>
          <w:sz w:val="24"/>
          <w:szCs w:val="24"/>
        </w:rPr>
        <w:t xml:space="preserve"> Sends colour standards and specifications, submits lab-dips to the customer and informs the dyehouse of the written approval or rejection.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Verifies the approval record, controls the colour archive card and opens a corrective action when the process is not followed.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Factory Manager:</w:t>
      </w:r>
      <w:r>
        <w:rPr>
          <w:rFonts w:ascii="Calibri" w:hAnsi="Calibri" w:cs="Arial"/>
          <w:sz w:val="24"/>
          <w:szCs w:val="24"/>
        </w:rPr>
        <w:t xml:space="preserve"> Reviews the lab-dip approval rate and lead time and gives resources for corrective actions.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Lab-Dip:</w:t>
      </w:r>
      <w:r>
        <w:rPr>
          <w:rFonts w:ascii="Calibri" w:hAnsi="Calibri" w:cs="Arial"/>
          <w:sz w:val="24"/>
          <w:szCs w:val="24"/>
        </w:rPr>
        <w:t xml:space="preserve"> A small fabric sample dyed in the laboratory to match a colour standard before bulk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ΔE:</w:t>
      </w:r>
      <w:r>
        <w:rPr>
          <w:rFonts w:ascii="Calibri" w:hAnsi="Calibri" w:cs="Arial"/>
          <w:sz w:val="24"/>
          <w:szCs w:val="24"/>
        </w:rPr>
        <w:t xml:space="preserve"> The total colour difference between the lab-dip and the standard measured with a spectrophotometer (for example CIELAB ΔE CMC 2:1 or ΔE 2000, as defined by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Metamerism:</w:t>
      </w:r>
      <w:r>
        <w:rPr>
          <w:rFonts w:ascii="Calibri" w:hAnsi="Calibri" w:cs="Arial"/>
          <w:sz w:val="24"/>
          <w:szCs w:val="24"/>
        </w:rPr>
        <w:t xml:space="preserve"> The effect where two samples match under one light source but differ under another.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Archive Card:</w:t>
      </w:r>
      <w:r>
        <w:rPr>
          <w:rFonts w:ascii="Calibri" w:hAnsi="Calibri" w:cs="Arial"/>
          <w:sz w:val="24"/>
          <w:szCs w:val="24"/>
        </w:rPr>
        <w:t xml:space="preserve"> The record that keeps the approved lab-dip, the recipe and the approval evidence for later repeat orders.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Jigger Trial:</w:t>
      </w:r>
      <w:r>
        <w:rPr>
          <w:rFonts w:ascii="Calibri" w:hAnsi="Calibri" w:cs="Arial"/>
          <w:sz w:val="24"/>
          <w:szCs w:val="24"/>
        </w:rPr>
        <w:t xml:space="preserve"> A trial run on a jigger or laboratory dyeing machine that simulates the production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RECEIVING THE COLOUR REQUEST</w:t>
      </w:r>
    </w:p>
    <w:p>
      <w:pPr>
        <w:pStyle w:val="ListeParagraf"/>
        <w:spacing w:after="80"/>
        <w:ind w:left="709" w:right="0"/>
        <w:jc w:val="both"/>
      </w:pPr>
      <w:r>
        <w:rPr>
          <w:rFonts w:ascii="Calibri" w:hAnsi="Calibri" w:cs="Arial"/>
          <w:sz w:val="24"/>
          <w:szCs w:val="24"/>
        </w:rPr>
        <w:t xml:space="preserve">1.1. Receive the colour standard (swatch, Pantone/TCX code, spectral file or approved previous lot) together with the order number, fabric quality, required light sources and tolerance from the customer specification.</w:t>
      </w:r>
    </w:p>
    <w:p>
      <w:pPr>
        <w:pStyle w:val="ListeParagraf"/>
        <w:spacing w:after="80"/>
        <w:ind w:left="709" w:right="0"/>
        <w:jc w:val="both"/>
      </w:pPr>
      <w:r>
        <w:rPr>
          <w:rFonts w:ascii="Calibri" w:hAnsi="Calibri" w:cs="Arial"/>
          <w:sz w:val="24"/>
          <w:szCs w:val="24"/>
        </w:rPr>
        <w:t xml:space="preserve">1.2. Check that the standard is clean, flat and of a suitable size; record the colour name, code, customer and date on the Laboratory Colour Work Form (EMS.QA.FRM.07.16).</w:t>
      </w:r>
    </w:p>
    <w:p>
      <w:pPr>
        <w:pStyle w:val="ListeParagraf"/>
        <w:spacing w:after="80"/>
        <w:ind w:left="709" w:right="0"/>
        <w:jc w:val="both"/>
      </w:pPr>
      <w:r>
        <w:rPr>
          <w:rFonts w:ascii="Calibri" w:hAnsi="Calibri" w:cs="Arial"/>
          <w:sz w:val="24"/>
          <w:szCs w:val="24"/>
        </w:rPr>
        <w:t xml:space="preserve">1.3. Confirm the greige or prepared fabric to be used is the same quality, lot type and pre-treatment as the bulk order; record the fabric details.</w:t>
      </w:r>
    </w:p>
    <w:p>
      <w:pPr>
        <w:pStyle w:val="ListeParagraf"/>
        <w:spacing w:after="80"/>
        <w:ind w:left="709" w:right="0"/>
        <w:jc w:val="both"/>
      </w:pPr>
      <w:r>
        <w:rPr>
          <w:rFonts w:ascii="Calibri" w:hAnsi="Calibri" w:cs="Arial"/>
          <w:sz w:val="24"/>
          <w:szCs w:val="24"/>
        </w:rPr>
        <w:t xml:space="preserve">1.4. Check the colour archive for an earlier approval of the same colour; if a valid recipe exists, use it as the starting point.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PREPARING THE LAB-DIP</w:t>
      </w:r>
    </w:p>
    <w:p>
      <w:pPr>
        <w:pStyle w:val="ListeParagraf"/>
        <w:spacing w:after="80"/>
        <w:ind w:left="709" w:right="0"/>
        <w:jc w:val="both"/>
      </w:pPr>
      <w:r>
        <w:rPr>
          <w:rFonts w:ascii="Calibri" w:hAnsi="Calibri" w:cs="Arial"/>
          <w:sz w:val="24"/>
          <w:szCs w:val="24"/>
        </w:rPr>
        <w:t xml:space="preserve">2.1. Select the recipe from the colour database or the colourist's experience; weigh dyestuffs and auxiliaries on a calibrated balance and record lot numbers.</w:t>
      </w:r>
    </w:p>
    <w:p>
      <w:pPr>
        <w:pStyle w:val="ListeParagraf"/>
        <w:spacing w:after="80"/>
        <w:ind w:left="709" w:right="0"/>
        <w:jc w:val="both"/>
      </w:pPr>
      <w:r>
        <w:rPr>
          <w:rFonts w:ascii="Calibri" w:hAnsi="Calibri" w:cs="Arial"/>
          <w:sz w:val="24"/>
          <w:szCs w:val="24"/>
        </w:rPr>
        <w:t xml:space="preserve">2.2. Use only chemicals and dyes that comply with the ZDHC MRSL and the customer's restricted substances list; keep the safety data sheets available.</w:t>
      </w:r>
    </w:p>
    <w:p>
      <w:pPr>
        <w:pStyle w:val="ListeParagraf"/>
        <w:spacing w:after="80"/>
        <w:ind w:left="709" w:right="0"/>
        <w:jc w:val="both"/>
      </w:pPr>
      <w:r>
        <w:rPr>
          <w:rFonts w:ascii="Calibri" w:hAnsi="Calibri" w:cs="Arial"/>
          <w:sz w:val="24"/>
          <w:szCs w:val="24"/>
        </w:rPr>
        <w:t xml:space="preserve">2.3. Dye the sample with the liquor ratio, temperature, time and pH curve that represents the production machine and process; record the process parameters.</w:t>
      </w:r>
    </w:p>
    <w:p>
      <w:pPr>
        <w:pStyle w:val="ListeParagraf"/>
        <w:spacing w:after="80"/>
        <w:ind w:left="709" w:right="0"/>
        <w:jc w:val="both"/>
      </w:pPr>
      <w:r>
        <w:rPr>
          <w:rFonts w:ascii="Calibri" w:hAnsi="Calibri" w:cs="Arial"/>
          <w:sz w:val="24"/>
          <w:szCs w:val="24"/>
        </w:rPr>
        <w:t xml:space="preserve">2.4. Rinse, neutralise, soap and dry the sample under the same conditions as bulk finishing; condition it before measurement.</w:t>
      </w:r>
    </w:p>
    <w:p>
      <w:pPr>
        <w:pStyle w:val="ListeParagraf"/>
        <w:spacing w:after="80"/>
        <w:ind w:left="709" w:right="0"/>
        <w:jc w:val="both"/>
      </w:pPr>
      <w:r>
        <w:rPr>
          <w:rFonts w:ascii="Calibri" w:hAnsi="Calibri" w:cs="Arial"/>
          <w:sz w:val="24"/>
          <w:szCs w:val="24"/>
        </w:rPr>
        <w:t xml:space="preserve">2.5. Label each dip with the order number, recipe number, dip number and date.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EVALUATION</w:t>
      </w:r>
    </w:p>
    <w:p>
      <w:pPr>
        <w:pStyle w:val="ListeParagraf"/>
        <w:spacing w:after="80"/>
        <w:ind w:left="709" w:right="0"/>
        <w:jc w:val="both"/>
      </w:pPr>
      <w:r>
        <w:rPr>
          <w:rFonts w:ascii="Calibri" w:hAnsi="Calibri" w:cs="Arial"/>
          <w:sz w:val="24"/>
          <w:szCs w:val="24"/>
        </w:rPr>
        <w:t xml:space="preserve">3.1. Assess the dip visually in a light cabinet under the light sources required by the customer (for example D65, TL84, A), by a colourist with a valid colour-vision test.</w:t>
      </w:r>
    </w:p>
    <w:p>
      <w:pPr>
        <w:pStyle w:val="ListeParagraf"/>
        <w:spacing w:after="80"/>
        <w:ind w:left="709" w:right="0"/>
        <w:jc w:val="both"/>
      </w:pPr>
      <w:r>
        <w:rPr>
          <w:rFonts w:ascii="Calibri" w:hAnsi="Calibri" w:cs="Arial"/>
          <w:sz w:val="24"/>
          <w:szCs w:val="24"/>
        </w:rPr>
        <w:t xml:space="preserve">3.2. Measure the dip with a calibrated spectrophotometer (at least three readings, averaged) and record ΔE and the lightness, chroma and hue differences.</w:t>
      </w:r>
    </w:p>
    <w:p>
      <w:pPr>
        <w:pStyle w:val="ListeParagraf"/>
        <w:spacing w:after="80"/>
        <w:ind w:left="709" w:right="0"/>
        <w:jc w:val="both"/>
      </w:pPr>
      <w:r>
        <w:rPr>
          <w:rFonts w:ascii="Calibri" w:hAnsi="Calibri" w:cs="Arial"/>
          <w:sz w:val="24"/>
          <w:szCs w:val="24"/>
        </w:rPr>
        <w:t xml:space="preserve">3.3. Check metamerism between the light sources; a dip with a visible shift is corrected or rejected.</w:t>
      </w:r>
    </w:p>
    <w:p>
      <w:pPr>
        <w:pStyle w:val="ListeParagraf"/>
        <w:spacing w:after="80"/>
        <w:ind w:left="709" w:right="0"/>
        <w:jc w:val="both"/>
      </w:pPr>
      <w:r>
        <w:rPr>
          <w:rFonts w:ascii="Calibri" w:hAnsi="Calibri" w:cs="Arial"/>
          <w:sz w:val="24"/>
          <w:szCs w:val="24"/>
        </w:rPr>
        <w:t xml:space="preserve">3.4. Accept the dip for submission only when the result is within the tolerance in the customer specification; where none is given, the company limit set by the Dyehouse Manager applies.</w:t>
      </w:r>
    </w:p>
    <w:p>
      <w:pPr>
        <w:pStyle w:val="ListeParagraf"/>
        <w:spacing w:after="80"/>
        <w:ind w:left="709" w:right="0"/>
        <w:jc w:val="both"/>
      </w:pPr>
      <w:r>
        <w:rPr>
          <w:rFonts w:ascii="Calibri" w:hAnsi="Calibri" w:cs="Arial"/>
          <w:sz w:val="24"/>
          <w:szCs w:val="24"/>
        </w:rPr>
        <w:t xml:space="preserve">3.5. If the dip is out of tolerance, correct the recipe, record the correction and prepare a new dip; the number of attempts is recorded for performance follow-up.</w:t>
      </w:r>
    </w:p>
    <w:p>
      <w:pPr>
        <w:pStyle w:val="ListeParagraf"/>
        <w:spacing w:after="80"/>
        <w:ind w:left="709" w:right="0"/>
        <w:jc w:val="both"/>
      </w:pPr>
      <w:r>
        <w:rPr>
          <w:rFonts w:ascii="Calibri" w:hAnsi="Calibri" w:cs="Arial"/>
          <w:sz w:val="24"/>
          <w:szCs w:val="24"/>
        </w:rPr>
        <w:t xml:space="preserve">3.6. When the customer requires it, test the dip for colour fastness (ISO 105 series) before submission.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SUBMISSION AND APPROVAL</w:t>
      </w:r>
    </w:p>
    <w:p>
      <w:pPr>
        <w:pStyle w:val="ListeParagraf"/>
        <w:spacing w:after="80"/>
        <w:ind w:left="709" w:right="0"/>
        <w:jc w:val="both"/>
      </w:pPr>
      <w:r>
        <w:rPr>
          <w:rFonts w:ascii="Calibri" w:hAnsi="Calibri" w:cs="Arial"/>
          <w:sz w:val="24"/>
          <w:szCs w:val="24"/>
        </w:rPr>
        <w:t xml:space="preserve">4.1. Submit the dip to the customer or to the internal approver with the standard, the recipe number and the measurement values.</w:t>
      </w:r>
    </w:p>
    <w:p>
      <w:pPr>
        <w:pStyle w:val="ListeParagraf"/>
        <w:spacing w:after="80"/>
        <w:ind w:left="709" w:right="0"/>
        <w:jc w:val="both"/>
      </w:pPr>
      <w:r>
        <w:rPr>
          <w:rFonts w:ascii="Calibri" w:hAnsi="Calibri" w:cs="Arial"/>
          <w:sz w:val="24"/>
          <w:szCs w:val="24"/>
        </w:rPr>
        <w:t xml:space="preserve">4.2. Record the written approval (e-mail, approval card or portal confirmation) with date and approver name; verbal approval is not accepted.</w:t>
      </w:r>
    </w:p>
    <w:p>
      <w:pPr>
        <w:pStyle w:val="ListeParagraf"/>
        <w:spacing w:after="80"/>
        <w:ind w:left="709" w:right="0"/>
        <w:jc w:val="both"/>
      </w:pPr>
      <w:r>
        <w:rPr>
          <w:rFonts w:ascii="Calibri" w:hAnsi="Calibri" w:cs="Arial"/>
          <w:sz w:val="24"/>
          <w:szCs w:val="24"/>
        </w:rPr>
        <w:t xml:space="preserve">4.3. Enter the approved colour in the Colour Archive Card (EMS.QA.KRT.07.01), attach the approved dip and file the recipe revision.</w:t>
      </w:r>
    </w:p>
    <w:p>
      <w:pPr>
        <w:pStyle w:val="ListeParagraf"/>
        <w:spacing w:after="80"/>
        <w:ind w:left="709" w:right="0"/>
        <w:jc w:val="both"/>
      </w:pPr>
      <w:r>
        <w:rPr>
          <w:rFonts w:ascii="Calibri" w:hAnsi="Calibri" w:cs="Arial"/>
          <w:sz w:val="24"/>
          <w:szCs w:val="24"/>
        </w:rPr>
        <w:t xml:space="preserve">4.4. A rejected dip is returned to the colourist with the customer comments; the cycle is repeated from section 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RELEASE TO PRODUCTION</w:t>
      </w:r>
    </w:p>
    <w:p>
      <w:pPr>
        <w:pStyle w:val="ListeParagraf"/>
        <w:spacing w:after="80"/>
        <w:ind w:left="709" w:right="0"/>
        <w:jc w:val="both"/>
      </w:pPr>
      <w:r>
        <w:rPr>
          <w:rFonts w:ascii="Calibri" w:hAnsi="Calibri" w:cs="Arial"/>
          <w:sz w:val="24"/>
          <w:szCs w:val="24"/>
        </w:rPr>
        <w:t xml:space="preserve">5.1. Release the approved recipe to bulk production only after the approval is recorded; unapproved recipes are not released.</w:t>
      </w:r>
    </w:p>
    <w:p>
      <w:pPr>
        <w:pStyle w:val="ListeParagraf"/>
        <w:spacing w:after="80"/>
        <w:ind w:left="709" w:right="0"/>
        <w:jc w:val="both"/>
      </w:pPr>
      <w:r>
        <w:rPr>
          <w:rFonts w:ascii="Calibri" w:hAnsi="Calibri" w:cs="Arial"/>
          <w:sz w:val="24"/>
          <w:szCs w:val="24"/>
        </w:rPr>
        <w:t xml:space="preserve">5.2. When needed, perform a jigger or laboratory machine trial and record the result on the Jigger Trial Test Report (EMS.QA.FRM.07.17) to confirm that the recipe behaves as in production.</w:t>
      </w:r>
    </w:p>
    <w:p>
      <w:pPr>
        <w:pStyle w:val="ListeParagraf"/>
        <w:spacing w:after="80"/>
        <w:ind w:left="709" w:right="0"/>
        <w:jc w:val="both"/>
      </w:pPr>
      <w:r>
        <w:rPr>
          <w:rFonts w:ascii="Calibri" w:hAnsi="Calibri" w:cs="Arial"/>
          <w:sz w:val="24"/>
          <w:szCs w:val="24"/>
        </w:rPr>
        <w:t xml:space="preserve">5.3. Hand over the recipe to the colour kitchen under control; every recipe change is recorded with a revision number, date and approver.</w:t>
      </w:r>
    </w:p>
    <w:p>
      <w:pPr>
        <w:pStyle w:val="ListeParagraf"/>
        <w:spacing w:after="80"/>
        <w:ind w:left="709" w:right="0"/>
        <w:jc w:val="both"/>
      </w:pPr>
      <w:r>
        <w:rPr>
          <w:rFonts w:ascii="Calibri" w:hAnsi="Calibri" w:cs="Arial"/>
          <w:sz w:val="24"/>
          <w:szCs w:val="24"/>
        </w:rPr>
        <w:t xml:space="preserve">5.4. Keep the approved dip and the standard in the archive for the retention period defined by customer requirements.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w:t>
      </w:r>
    </w:p>
    <w:p>
      <w:pPr>
        <w:pStyle w:val="ListeParagraf"/>
        <w:spacing w:after="80"/>
        <w:ind w:left="709" w:right="0"/>
        <w:jc w:val="both"/>
      </w:pPr>
      <w:r>
        <w:rPr>
          <w:rFonts w:ascii="Calibri" w:hAnsi="Calibri" w:cs="Arial"/>
          <w:sz w:val="24"/>
          <w:szCs w:val="24"/>
        </w:rPr>
        <w:t xml:space="preserve">6.1. If bulk dyeing differs from the approved colour, compare it with the archived dip, record the finding and open a nonconformity record and a corrective action (DOP/CAPA) according to EMS.KS.PRO.22.02 and EMS.KS.PRO.22.03.</w:t>
      </w:r>
    </w:p>
    <w:p>
      <w:pPr>
        <w:pStyle w:val="ListeParagraf"/>
        <w:spacing w:after="80"/>
        <w:ind w:left="709" w:right="0"/>
        <w:jc w:val="both"/>
      </w:pPr>
      <w:r>
        <w:rPr>
          <w:rFonts w:ascii="Calibri" w:hAnsi="Calibri" w:cs="Arial"/>
          <w:sz w:val="24"/>
          <w:szCs w:val="24"/>
        </w:rPr>
        <w:t xml:space="preserve">6.2. Colour standards and dips that are damaged, faded or expired are replaced and the replacement is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AND ENVIRONMENT</w:t>
      </w:r>
    </w:p>
    <w:p>
      <w:pPr>
        <w:pStyle w:val="ListeParagraf"/>
        <w:numPr>
          <w:ilvl w:val="0"/>
          <w:numId w:val="1"/>
        </w:numPr>
        <w:spacing w:after="60"/>
        <w:jc w:val="both"/>
      </w:pPr>
      <w:r>
        <w:rPr>
          <w:rFonts w:ascii="Calibri" w:hAnsi="Calibri" w:cs="Arial"/>
          <w:sz w:val="24"/>
          <w:szCs w:val="24"/>
        </w:rPr>
        <w:t xml:space="preserve">Wear the PPE required by the safety data sheets when handling dyes and chemicals.</w:t>
      </w:r>
    </w:p>
    <w:p>
      <w:pPr>
        <w:pStyle w:val="ListeParagraf"/>
        <w:numPr>
          <w:ilvl w:val="0"/>
          <w:numId w:val="1"/>
        </w:numPr>
        <w:spacing w:after="60"/>
        <w:jc w:val="both"/>
      </w:pPr>
      <w:r>
        <w:rPr>
          <w:rFonts w:ascii="Calibri" w:hAnsi="Calibri" w:cs="Arial"/>
          <w:sz w:val="24"/>
          <w:szCs w:val="24"/>
        </w:rPr>
        <w:t xml:space="preserve">Dispose of lab effluent and leftover dye solutions according to the waste procedures; do not discharge them to the drain without treatment.</w:t>
      </w:r>
    </w:p>
    <w:p>
      <w:pPr>
        <w:pStyle w:val="ListeParagraf"/>
        <w:numPr>
          <w:ilvl w:val="0"/>
          <w:numId w:val="1"/>
        </w:numPr>
        <w:spacing w:after="60"/>
        <w:jc w:val="both"/>
      </w:pPr>
      <w:r>
        <w:rPr>
          <w:rFonts w:ascii="Calibri" w:hAnsi="Calibri" w:cs="Arial"/>
          <w:sz w:val="24"/>
          <w:szCs w:val="24"/>
        </w:rPr>
        <w:t xml:space="preserve">Keep the light cabinet and the spectrophotometer clean and calibrated according to the equipment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EMS.LB.TL.09.02. Colour Fastness Tests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EMS.BY.PRO.06.01 Colour Approval Procedure; EMS.BY.TL.06.05 Lab-dip preparation and approval</w:t>
      </w:r>
    </w:p>
    <w:p>
      <w:pPr>
        <w:pStyle w:val="ListeParagraf"/>
        <w:numPr>
          <w:ilvl w:val="0"/>
          <w:numId w:val="1"/>
        </w:numPr>
        <w:spacing w:after="60"/>
        <w:jc w:val="both"/>
      </w:pPr>
      <w:r>
        <w:rPr>
          <w:rFonts w:ascii="Calibri" w:hAnsi="Calibri" w:cs="Arial"/>
          <w:sz w:val="24"/>
          <w:szCs w:val="24"/>
        </w:rPr>
        <w:t xml:space="preserve">Laboratory Colour Work Form (EMS.QA.FRM.07.16), Colour Archive Card (EMS.QA.KRT.07.01), Jigger Trial Test Report (EMS.QA.FRM.07.17)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Dyehouse Manager monitors the first-time lab-dip approval rate, the number of attempts per colour, the lead time from request to approval and the number of colour complaints from bulk production every month. Results are reported to the Dyehouse Factory Manager. This instruction is reviewed every year or after a significant colour nonconformity.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تحضير عينات اللون المخبرية (Lab-Dip) وتقييمها واعتمادها في شركة إيروغلو للتريكو (EMS)، بحيث تتطابق وصفة اللون المصرّح بها للصباغة الإنتاجية مع اللون المعتمد من العميل، وتكون قابلة للتكرار على آلة الإنتاج، ويمكن تتبعها من خلال 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أعمال مطابقة الألوان التي تتم في المختبر ومصبغة الأقمشة لطلبات العملاء وطلبات التطوير والطلبات المتكررة، من استلام معيار اللون حتى تسليم الوصفة المعتمدة إلى الإنتاج، وعلى العاملين المعنيين.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يضمن تخطيط أعمال عينات اللون، ولا تذهب إلى الصباغة الإنتاجية إلا الوصفات المعتمدة، ويتابع حالات التأخير والفشل.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الألوان في المختبر:</w:t>
      </w:r>
      <w:r>
        <w:rPr>
          <w:rFonts w:ascii="Calibri" w:hAnsi="Calibri" w:cs="Arial"/>
          <w:rtl/>
          <w:sz w:val="24"/>
          <w:szCs w:val="24"/>
        </w:rPr>
        <w:t xml:space="preserve"> يحضّر عينات اللون، ويقيس اللون، ويقيّم ظاهرة التشابه الشرطي، ويستكمل سجل عمل اللون المخبري.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التسويق / ممثل العميل:</w:t>
      </w:r>
      <w:r>
        <w:rPr>
          <w:rFonts w:ascii="Calibri" w:hAnsi="Calibri" w:cs="Arial"/>
          <w:rtl/>
          <w:sz w:val="24"/>
          <w:szCs w:val="24"/>
        </w:rPr>
        <w:t xml:space="preserve"> يرسل معايير الألوان والمواصفات، ويقدّم عينات اللون إلى العميل، ويبلغ المصبغة بالموافقة الخطية أو الرفض.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يتحقق من سجل الاعتماد، ويراقب بطاقة أرشيف الألوان، ويفتح إجراءً تصحيحيًا عند عدم اتباع العملية.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المصبغة:</w:t>
      </w:r>
      <w:r>
        <w:rPr>
          <w:rFonts w:ascii="Calibri" w:hAnsi="Calibri" w:cs="Arial"/>
          <w:rtl/>
          <w:sz w:val="24"/>
          <w:szCs w:val="24"/>
        </w:rPr>
        <w:t xml:space="preserve"> يراجع نسبة اعتماد عينات اللون ومدة إنجازها ويوفر الموارد اللازمة للإجراءات التصحيحية.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اللون المخبرية (Lab-Dip):</w:t>
      </w:r>
      <w:r>
        <w:rPr>
          <w:rFonts w:ascii="Calibri" w:hAnsi="Calibri" w:cs="Arial"/>
          <w:rtl/>
          <w:sz w:val="24"/>
          <w:szCs w:val="24"/>
        </w:rPr>
        <w:t xml:space="preserve"> عينة قماش صغيرة تُصبغ في المختبر لمطابقة معيار اللون قبل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ΔE:</w:t>
      </w:r>
      <w:r>
        <w:rPr>
          <w:rFonts w:ascii="Calibri" w:hAnsi="Calibri" w:cs="Arial"/>
          <w:rtl/>
          <w:sz w:val="24"/>
          <w:szCs w:val="24"/>
        </w:rPr>
        <w:t xml:space="preserve"> فرق اللون الكلي بين عينة اللون والمعيار المقاس بجهاز المطياف اللوني (مثل CIELAB ΔE CMC 2:1 أو ΔE 2000 وفق ما يحدده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التشابه الشرطي (Metamerism):</w:t>
      </w:r>
      <w:r>
        <w:rPr>
          <w:rFonts w:ascii="Calibri" w:hAnsi="Calibri" w:cs="Arial"/>
          <w:rtl/>
          <w:sz w:val="24"/>
          <w:szCs w:val="24"/>
        </w:rPr>
        <w:t xml:space="preserve"> ظاهرة تتطابق فيها عينتان تحت مصدر ضوء واحد وتختلفان تحت مصدر آخر.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أرشيف الألوان:</w:t>
      </w:r>
      <w:r>
        <w:rPr>
          <w:rFonts w:ascii="Calibri" w:hAnsi="Calibri" w:cs="Arial"/>
          <w:rtl/>
          <w:sz w:val="24"/>
          <w:szCs w:val="24"/>
        </w:rPr>
        <w:t xml:space="preserve"> السجل الذي يحفظ عينة اللون المعتمدة والوصفة ودليل الاعتماد للطلبات المتكررة لاحقًا.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تجربة الجيغر:</w:t>
      </w:r>
      <w:r>
        <w:rPr>
          <w:rFonts w:ascii="Calibri" w:hAnsi="Calibri" w:cs="Arial"/>
          <w:rtl/>
          <w:sz w:val="24"/>
          <w:szCs w:val="24"/>
        </w:rPr>
        <w:t xml:space="preserve"> تشغيل تجريبي على آلة جيغر أو آلة صباغة مخبرية يحاكي عملية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استلام طلب اللون</w:t>
      </w:r>
    </w:p>
    <w:p>
      <w:pPr>
        <w:pStyle w:val="ListeParagraf"/>
        <w:bidi/>
        <w:spacing w:after="80"/>
        <w:ind w:left="0" w:right="709"/>
        <w:jc w:val="both"/>
      </w:pPr>
      <w:r>
        <w:rPr>
          <w:rFonts w:ascii="Calibri" w:hAnsi="Calibri" w:cs="Arial"/>
          <w:rtl/>
          <w:sz w:val="24"/>
          <w:szCs w:val="24"/>
        </w:rPr>
        <w:t xml:space="preserve">1.1. استلم معيار اللون (عينة قماش أو رمز Pantone/TCX أو ملف طيفي أو دفعة سابقة معتمدة) مع رقم الطلب ونوع القماش ومصادر الضوء المطلوبة والتسامح المحدد في مواصفات العميل.</w:t>
      </w:r>
    </w:p>
    <w:p>
      <w:pPr>
        <w:pStyle w:val="ListeParagraf"/>
        <w:bidi/>
        <w:spacing w:after="80"/>
        <w:ind w:left="0" w:right="709"/>
        <w:jc w:val="both"/>
      </w:pPr>
      <w:r>
        <w:rPr>
          <w:rFonts w:ascii="Calibri" w:hAnsi="Calibri" w:cs="Arial"/>
          <w:rtl/>
          <w:sz w:val="24"/>
          <w:szCs w:val="24"/>
        </w:rPr>
        <w:t xml:space="preserve">1.2. تحقق من أن المعيار نظيف ومسطح وبحجم مناسب؛ وسجّل اسم اللون ورمزه والعميل والتاريخ في نموذج عمل اللون المخبري (EMS.QA.FRM.07.16).</w:t>
      </w:r>
    </w:p>
    <w:p>
      <w:pPr>
        <w:pStyle w:val="ListeParagraf"/>
        <w:bidi/>
        <w:spacing w:after="80"/>
        <w:ind w:left="0" w:right="709"/>
        <w:jc w:val="both"/>
      </w:pPr>
      <w:r>
        <w:rPr>
          <w:rFonts w:ascii="Calibri" w:hAnsi="Calibri" w:cs="Arial"/>
          <w:rtl/>
          <w:sz w:val="24"/>
          <w:szCs w:val="24"/>
        </w:rPr>
        <w:t xml:space="preserve">1.3. تأكد من أن القماش الخام أو المحضّر المستخدم من نفس الجودة ونوع الدفعة والمعالجة المسبقة لطلب الإنتاج؛ وسجّل بيانات القماش.</w:t>
      </w:r>
    </w:p>
    <w:p>
      <w:pPr>
        <w:pStyle w:val="ListeParagraf"/>
        <w:bidi/>
        <w:spacing w:after="80"/>
        <w:ind w:left="0" w:right="709"/>
        <w:jc w:val="both"/>
      </w:pPr>
      <w:r>
        <w:rPr>
          <w:rFonts w:ascii="Calibri" w:hAnsi="Calibri" w:cs="Arial"/>
          <w:rtl/>
          <w:sz w:val="24"/>
          <w:szCs w:val="24"/>
        </w:rPr>
        <w:t xml:space="preserve">1.4. راجع أرشيف الألوان بحثًا عن اعتماد سابق للون نفسه؛ وإذا وُجدت وصفة سارية فاستخدمها نقطة انطلاق.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تحضير عينة اللون</w:t>
      </w:r>
    </w:p>
    <w:p>
      <w:pPr>
        <w:pStyle w:val="ListeParagraf"/>
        <w:bidi/>
        <w:spacing w:after="80"/>
        <w:ind w:left="0" w:right="709"/>
        <w:jc w:val="both"/>
      </w:pPr>
      <w:r>
        <w:rPr>
          <w:rFonts w:ascii="Calibri" w:hAnsi="Calibri" w:cs="Arial"/>
          <w:rtl/>
          <w:sz w:val="24"/>
          <w:szCs w:val="24"/>
        </w:rPr>
        <w:t xml:space="preserve">2.1. اختر الوصفة من قاعدة بيانات الألوان أو من خبرة أخصائي الألوان؛ ثم زن الأصباغ والمواد المساعدة على ميزان معاير وسجّل أرقام الدفعات.</w:t>
      </w:r>
    </w:p>
    <w:p>
      <w:pPr>
        <w:pStyle w:val="ListeParagraf"/>
        <w:bidi/>
        <w:spacing w:after="80"/>
        <w:ind w:left="0" w:right="709"/>
        <w:jc w:val="both"/>
      </w:pPr>
      <w:r>
        <w:rPr>
          <w:rFonts w:ascii="Calibri" w:hAnsi="Calibri" w:cs="Arial"/>
          <w:rtl/>
          <w:sz w:val="24"/>
          <w:szCs w:val="24"/>
        </w:rPr>
        <w:t xml:space="preserve">2.2. استخدم فقط المواد الكيميائية والأصباغ المطابقة لقائمة ZDHC MRSL وقائمة المواد المقيّدة لدى العميل؛ وأبقِ صحائف بيانات السلامة متاحة.</w:t>
      </w:r>
    </w:p>
    <w:p>
      <w:pPr>
        <w:pStyle w:val="ListeParagraf"/>
        <w:bidi/>
        <w:spacing w:after="80"/>
        <w:ind w:left="0" w:right="709"/>
        <w:jc w:val="both"/>
      </w:pPr>
      <w:r>
        <w:rPr>
          <w:rFonts w:ascii="Calibri" w:hAnsi="Calibri" w:cs="Arial"/>
          <w:rtl/>
          <w:sz w:val="24"/>
          <w:szCs w:val="24"/>
        </w:rPr>
        <w:t xml:space="preserve">2.3. اصبغ العينة بنسبة الحمام ودرجة الحرارة والزمن ومنحنى الأس الهيدروجيني التي تمثل آلة الإنتاج وعمليتها؛ وسجّل معاملات العملية.</w:t>
      </w:r>
    </w:p>
    <w:p>
      <w:pPr>
        <w:pStyle w:val="ListeParagraf"/>
        <w:bidi/>
        <w:spacing w:after="80"/>
        <w:ind w:left="0" w:right="709"/>
        <w:jc w:val="both"/>
      </w:pPr>
      <w:r>
        <w:rPr>
          <w:rFonts w:ascii="Calibri" w:hAnsi="Calibri" w:cs="Arial"/>
          <w:rtl/>
          <w:sz w:val="24"/>
          <w:szCs w:val="24"/>
        </w:rPr>
        <w:t xml:space="preserve">2.4. اشطف العينة وعادلها واغسلها بالصابون وجففها بنفس ظروف التجهيز الإنتاجي؛ ثم هيّئها للظروف القياسية قبل القياس.</w:t>
      </w:r>
    </w:p>
    <w:p>
      <w:pPr>
        <w:pStyle w:val="ListeParagraf"/>
        <w:bidi/>
        <w:spacing w:after="80"/>
        <w:ind w:left="0" w:right="709"/>
        <w:jc w:val="both"/>
      </w:pPr>
      <w:r>
        <w:rPr>
          <w:rFonts w:ascii="Calibri" w:hAnsi="Calibri" w:cs="Arial"/>
          <w:rtl/>
          <w:sz w:val="24"/>
          <w:szCs w:val="24"/>
        </w:rPr>
        <w:t xml:space="preserve">2.5. ضع على كل عينة بطاقة تحمل رقم الطلب ورقم الوصفة ورقم العينة والتاريخ.</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التقييم</w:t>
      </w:r>
    </w:p>
    <w:p>
      <w:pPr>
        <w:pStyle w:val="ListeParagraf"/>
        <w:bidi/>
        <w:spacing w:after="80"/>
        <w:ind w:left="0" w:right="709"/>
        <w:jc w:val="both"/>
      </w:pPr>
      <w:r>
        <w:rPr>
          <w:rFonts w:ascii="Calibri" w:hAnsi="Calibri" w:cs="Arial"/>
          <w:rtl/>
          <w:sz w:val="24"/>
          <w:szCs w:val="24"/>
        </w:rPr>
        <w:t xml:space="preserve">3.1. قيّم العينة بصريًا في صندوق الإضاءة تحت مصادر الضوء التي يطلبها العميل (مثل D65 وTL84 وA) بواسطة أخصائي ألوان لديه اختبار سليم لإدراك الألوان.</w:t>
      </w:r>
    </w:p>
    <w:p>
      <w:pPr>
        <w:pStyle w:val="ListeParagraf"/>
        <w:bidi/>
        <w:spacing w:after="80"/>
        <w:ind w:left="0" w:right="709"/>
        <w:jc w:val="both"/>
      </w:pPr>
      <w:r>
        <w:rPr>
          <w:rFonts w:ascii="Calibri" w:hAnsi="Calibri" w:cs="Arial"/>
          <w:rtl/>
          <w:sz w:val="24"/>
          <w:szCs w:val="24"/>
        </w:rPr>
        <w:t xml:space="preserve">3.2. قس العينة بجهاز مطياف لوني معاير (ثلاث قراءات على الأقل بمتوسطها) وسجّل ΔE وفروق الإضاءة والتشبع والصبغة.</w:t>
      </w:r>
    </w:p>
    <w:p>
      <w:pPr>
        <w:pStyle w:val="ListeParagraf"/>
        <w:bidi/>
        <w:spacing w:after="80"/>
        <w:ind w:left="0" w:right="709"/>
        <w:jc w:val="both"/>
      </w:pPr>
      <w:r>
        <w:rPr>
          <w:rFonts w:ascii="Calibri" w:hAnsi="Calibri" w:cs="Arial"/>
          <w:rtl/>
          <w:sz w:val="24"/>
          <w:szCs w:val="24"/>
        </w:rPr>
        <w:t xml:space="preserve">3.3. افحص التشابه الشرطي بين مصادر الضوء؛ وتُصحَّح العينة التي يظهر فيها انحراف مرئي أو تُرفض.</w:t>
      </w:r>
    </w:p>
    <w:p>
      <w:pPr>
        <w:pStyle w:val="ListeParagraf"/>
        <w:bidi/>
        <w:spacing w:after="80"/>
        <w:ind w:left="0" w:right="709"/>
        <w:jc w:val="both"/>
      </w:pPr>
      <w:r>
        <w:rPr>
          <w:rFonts w:ascii="Calibri" w:hAnsi="Calibri" w:cs="Arial"/>
          <w:rtl/>
          <w:sz w:val="24"/>
          <w:szCs w:val="24"/>
        </w:rPr>
        <w:t xml:space="preserve">3.4. اقبل العينة للتقديم فقط عندما تقع النتيجة ضمن التسامح الوارد في مواصفات العميل؛ وفي حال عدم تحديده يطبق الحد الذي يضعه مدير المصبغة.</w:t>
      </w:r>
    </w:p>
    <w:p>
      <w:pPr>
        <w:pStyle w:val="ListeParagraf"/>
        <w:bidi/>
        <w:spacing w:after="80"/>
        <w:ind w:left="0" w:right="709"/>
        <w:jc w:val="both"/>
      </w:pPr>
      <w:r>
        <w:rPr>
          <w:rFonts w:ascii="Calibri" w:hAnsi="Calibri" w:cs="Arial"/>
          <w:rtl/>
          <w:sz w:val="24"/>
          <w:szCs w:val="24"/>
        </w:rPr>
        <w:t xml:space="preserve">3.5. إذا كانت العينة خارج التسامح، فصحّح الوصفة وسجّل التصحيح وحضّر عينة جديدة؛ ويُسجَّل عدد المحاولات لمتابعة الأداء.</w:t>
      </w:r>
    </w:p>
    <w:p>
      <w:pPr>
        <w:pStyle w:val="ListeParagraf"/>
        <w:bidi/>
        <w:spacing w:after="80"/>
        <w:ind w:left="0" w:right="709"/>
        <w:jc w:val="both"/>
      </w:pPr>
      <w:r>
        <w:rPr>
          <w:rFonts w:ascii="Calibri" w:hAnsi="Calibri" w:cs="Arial"/>
          <w:rtl/>
          <w:sz w:val="24"/>
          <w:szCs w:val="24"/>
        </w:rPr>
        <w:t xml:space="preserve">3.6. عندما يطلب العميل ذلك، اختبر العينة لثبات اللون (سلسلة ISO 105) قبل التقديم.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التقديم والاعتماد</w:t>
      </w:r>
    </w:p>
    <w:p>
      <w:pPr>
        <w:pStyle w:val="ListeParagraf"/>
        <w:bidi/>
        <w:spacing w:after="80"/>
        <w:ind w:left="0" w:right="709"/>
        <w:jc w:val="both"/>
      </w:pPr>
      <w:r>
        <w:rPr>
          <w:rFonts w:ascii="Calibri" w:hAnsi="Calibri" w:cs="Arial"/>
          <w:rtl/>
          <w:sz w:val="24"/>
          <w:szCs w:val="24"/>
        </w:rPr>
        <w:t xml:space="preserve">4.1. قدّم العينة إلى العميل أو إلى المعتمد الداخلي مع المعيار ورقم الوصفة وقيم القياس.</w:t>
      </w:r>
    </w:p>
    <w:p>
      <w:pPr>
        <w:pStyle w:val="ListeParagraf"/>
        <w:bidi/>
        <w:spacing w:after="80"/>
        <w:ind w:left="0" w:right="709"/>
        <w:jc w:val="both"/>
      </w:pPr>
      <w:r>
        <w:rPr>
          <w:rFonts w:ascii="Calibri" w:hAnsi="Calibri" w:cs="Arial"/>
          <w:rtl/>
          <w:sz w:val="24"/>
          <w:szCs w:val="24"/>
        </w:rPr>
        <w:t xml:space="preserve">4.2. سجّل الموافقة الخطية (بريد إلكتروني أو بطاقة اعتماد أو تأكيد عبر البوابة) مع التاريخ واسم المعتمد؛ ولا تُقبل الموافقة الشفهية.</w:t>
      </w:r>
    </w:p>
    <w:p>
      <w:pPr>
        <w:pStyle w:val="ListeParagraf"/>
        <w:bidi/>
        <w:spacing w:after="80"/>
        <w:ind w:left="0" w:right="709"/>
        <w:jc w:val="both"/>
      </w:pPr>
      <w:r>
        <w:rPr>
          <w:rFonts w:ascii="Calibri" w:hAnsi="Calibri" w:cs="Arial"/>
          <w:rtl/>
          <w:sz w:val="24"/>
          <w:szCs w:val="24"/>
        </w:rPr>
        <w:t xml:space="preserve">4.3. أدخل اللون المعتمد في بطاقة أرشيف الألوان (EMS.QA.KRT.07.01) وأرفق العينة المعتمدة واحفظ مراجعة الوصفة.</w:t>
      </w:r>
    </w:p>
    <w:p>
      <w:pPr>
        <w:pStyle w:val="ListeParagraf"/>
        <w:bidi/>
        <w:spacing w:after="80"/>
        <w:ind w:left="0" w:right="709"/>
        <w:jc w:val="both"/>
      </w:pPr>
      <w:r>
        <w:rPr>
          <w:rFonts w:ascii="Calibri" w:hAnsi="Calibri" w:cs="Arial"/>
          <w:rtl/>
          <w:sz w:val="24"/>
          <w:szCs w:val="24"/>
        </w:rPr>
        <w:t xml:space="preserve">4.4. تُعاد العينة المرفوضة إلى أخصائي الألوان مع ملاحظات العميل؛ وتُكرَّر الدورة ابتداءً من القسم 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التسليم للإنتاج</w:t>
      </w:r>
    </w:p>
    <w:p>
      <w:pPr>
        <w:pStyle w:val="ListeParagraf"/>
        <w:bidi/>
        <w:spacing w:after="80"/>
        <w:ind w:left="0" w:right="709"/>
        <w:jc w:val="both"/>
      </w:pPr>
      <w:r>
        <w:rPr>
          <w:rFonts w:ascii="Calibri" w:hAnsi="Calibri" w:cs="Arial"/>
          <w:rtl/>
          <w:sz w:val="24"/>
          <w:szCs w:val="24"/>
        </w:rPr>
        <w:t xml:space="preserve">5.1. لا تُسلَّم الوصفة المعتمدة للإنتاج الكمي إلا بعد تسجيل الاعتماد؛ ولا تُسلَّم الوصفات غير المعتمدة.</w:t>
      </w:r>
    </w:p>
    <w:p>
      <w:pPr>
        <w:pStyle w:val="ListeParagraf"/>
        <w:bidi/>
        <w:spacing w:after="80"/>
        <w:ind w:left="0" w:right="709"/>
        <w:jc w:val="both"/>
      </w:pPr>
      <w:r>
        <w:rPr>
          <w:rFonts w:ascii="Calibri" w:hAnsi="Calibri" w:cs="Arial"/>
          <w:rtl/>
          <w:sz w:val="24"/>
          <w:szCs w:val="24"/>
        </w:rPr>
        <w:t xml:space="preserve">5.2. عند الحاجة، نفّذ تجربة على الجيغر أو آلة مخبرية وسجّل النتيجة في تقرير اختبار تشغيل الجيغر (EMS.QA.FRM.07.17) للتأكد من أن الوصفة تتصرف كما في الإنتاج.</w:t>
      </w:r>
    </w:p>
    <w:p>
      <w:pPr>
        <w:pStyle w:val="ListeParagraf"/>
        <w:bidi/>
        <w:spacing w:after="80"/>
        <w:ind w:left="0" w:right="709"/>
        <w:jc w:val="both"/>
      </w:pPr>
      <w:r>
        <w:rPr>
          <w:rFonts w:ascii="Calibri" w:hAnsi="Calibri" w:cs="Arial"/>
          <w:rtl/>
          <w:sz w:val="24"/>
          <w:szCs w:val="24"/>
        </w:rPr>
        <w:t xml:space="preserve">5.3. سلّم الوصفة إلى مطبخ الألوان بشكل مضبوط؛ ويُسجَّل كل تغيير في الوصفة برقم مراجعة وتاريخ ومعتمد.</w:t>
      </w:r>
    </w:p>
    <w:p>
      <w:pPr>
        <w:pStyle w:val="ListeParagraf"/>
        <w:bidi/>
        <w:spacing w:after="80"/>
        <w:ind w:left="0" w:right="709"/>
        <w:jc w:val="both"/>
      </w:pPr>
      <w:r>
        <w:rPr>
          <w:rFonts w:ascii="Calibri" w:hAnsi="Calibri" w:cs="Arial"/>
          <w:rtl/>
          <w:sz w:val="24"/>
          <w:szCs w:val="24"/>
        </w:rPr>
        <w:t xml:space="preserve">5.4. احتفظ بالعينة المعتمدة والمعيار في الأرشيف طوال مدة الحفظ التي تحددها متطلبات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حالات عدم المطابقة</w:t>
      </w:r>
    </w:p>
    <w:p>
      <w:pPr>
        <w:pStyle w:val="ListeParagraf"/>
        <w:bidi/>
        <w:spacing w:after="80"/>
        <w:ind w:left="0" w:right="709"/>
        <w:jc w:val="both"/>
      </w:pPr>
      <w:r>
        <w:rPr>
          <w:rFonts w:ascii="Calibri" w:hAnsi="Calibri" w:cs="Arial"/>
          <w:rtl/>
          <w:sz w:val="24"/>
          <w:szCs w:val="24"/>
        </w:rPr>
        <w:t xml:space="preserve">6.1. إذا اختلفت الصباغة الإنتاجية عن اللون المعتمد، فقارنها بالعينة المؤرشفة وسجّل الملاحظة وافتح سجل عدم مطابقة وإجراءً تصحيحيًا (DOP/CAPA) وفق EMS.KS.PRO.22.02 وEMS.KS.PRO.22.03.</w:t>
      </w:r>
    </w:p>
    <w:p>
      <w:pPr>
        <w:pStyle w:val="ListeParagraf"/>
        <w:bidi/>
        <w:spacing w:after="80"/>
        <w:ind w:left="0" w:right="709"/>
        <w:jc w:val="both"/>
      </w:pPr>
      <w:r>
        <w:rPr>
          <w:rFonts w:ascii="Calibri" w:hAnsi="Calibri" w:cs="Arial"/>
          <w:rtl/>
          <w:sz w:val="24"/>
          <w:szCs w:val="24"/>
        </w:rPr>
        <w:t xml:space="preserve">6.2. تُستبدل المعايير والعينات التالفة أو الباهتة أو منتهية الصلاحية ويُسجَّل الاستبدال.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 والبيئة</w:t>
      </w:r>
    </w:p>
    <w:p>
      <w:pPr>
        <w:pStyle w:val="ListeParagraf"/>
        <w:numPr>
          <w:ilvl w:val="0"/>
          <w:numId w:val="1"/>
        </w:numPr>
        <w:bidi/>
        <w:spacing w:after="60"/>
        <w:jc w:val="both"/>
      </w:pPr>
      <w:r>
        <w:rPr>
          <w:rFonts w:ascii="Calibri" w:hAnsi="Calibri" w:cs="Arial"/>
          <w:rtl/>
          <w:sz w:val="24"/>
          <w:szCs w:val="24"/>
        </w:rPr>
        <w:t xml:space="preserve">ارتدِ معدات الحماية الشخصية المطلوبة في صحائف بيانات السلامة عند التعامل مع الأصباغ والمواد الكيميائية.</w:t>
      </w:r>
    </w:p>
    <w:p>
      <w:pPr>
        <w:pStyle w:val="ListeParagraf"/>
        <w:numPr>
          <w:ilvl w:val="0"/>
          <w:numId w:val="1"/>
        </w:numPr>
        <w:bidi/>
        <w:spacing w:after="60"/>
        <w:jc w:val="both"/>
      </w:pPr>
      <w:r>
        <w:rPr>
          <w:rFonts w:ascii="Calibri" w:hAnsi="Calibri" w:cs="Arial"/>
          <w:rtl/>
          <w:sz w:val="24"/>
          <w:szCs w:val="24"/>
        </w:rPr>
        <w:t xml:space="preserve">تخلّص من مياه المختبر ومحاليل الأصباغ المتبقية وفق إجراءات النفايات؛ ولا تصرفها إلى المجاري دون معالجة.</w:t>
      </w:r>
    </w:p>
    <w:p>
      <w:pPr>
        <w:pStyle w:val="ListeParagraf"/>
        <w:numPr>
          <w:ilvl w:val="0"/>
          <w:numId w:val="1"/>
        </w:numPr>
        <w:bidi/>
        <w:spacing w:after="60"/>
        <w:jc w:val="both"/>
      </w:pPr>
      <w:r>
        <w:rPr>
          <w:rFonts w:ascii="Calibri" w:hAnsi="Calibri" w:cs="Arial"/>
          <w:rtl/>
          <w:sz w:val="24"/>
          <w:szCs w:val="24"/>
        </w:rPr>
        <w:t xml:space="preserve">أبقِ صندوق الإضاءة وجهاز المطياف اللوني نظيفين ومعايرين وفق خطة المعدات.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EMS.BY.PRO.06.01. إجراء تحضير الوصفات واعتماد عينة اللون المخبرية</w:t>
      </w:r>
    </w:p>
    <w:p>
      <w:pPr>
        <w:pStyle w:val="ListeParagraf"/>
        <w:numPr>
          <w:ilvl w:val="0"/>
          <w:numId w:val="1"/>
        </w:numPr>
        <w:bidi/>
        <w:spacing w:after="60"/>
        <w:jc w:val="both"/>
      </w:pPr>
      <w:r>
        <w:rPr>
          <w:rFonts w:ascii="Calibri" w:hAnsi="Calibri" w:cs="Arial"/>
          <w:rtl/>
          <w:sz w:val="24"/>
          <w:szCs w:val="24"/>
        </w:rPr>
        <w:t xml:space="preserve">EMS.BY.PRO.06.02. إجراء مراقبة عملية الصباغة والتجهيز</w:t>
      </w:r>
    </w:p>
    <w:p>
      <w:pPr>
        <w:pStyle w:val="ListeParagraf"/>
        <w:numPr>
          <w:ilvl w:val="0"/>
          <w:numId w:val="1"/>
        </w:numPr>
        <w:bidi/>
        <w:spacing w:after="60"/>
        <w:jc w:val="both"/>
      </w:pPr>
      <w:r>
        <w:rPr>
          <w:rFonts w:ascii="Calibri" w:hAnsi="Calibri" w:cs="Arial"/>
          <w:rtl/>
          <w:sz w:val="24"/>
          <w:szCs w:val="24"/>
        </w:rPr>
        <w:t xml:space="preserve">EMS.BY.TL.06.03. تعليمات مراقبة درجة اللون بصندوق الإضاءة</w:t>
      </w:r>
    </w:p>
    <w:p>
      <w:pPr>
        <w:pStyle w:val="ListeParagraf"/>
        <w:numPr>
          <w:ilvl w:val="0"/>
          <w:numId w:val="1"/>
        </w:numPr>
        <w:bidi/>
        <w:spacing w:after="60"/>
        <w:jc w:val="both"/>
      </w:pPr>
      <w:r>
        <w:rPr>
          <w:rFonts w:ascii="Calibri" w:hAnsi="Calibri" w:cs="Arial"/>
          <w:rtl/>
          <w:sz w:val="24"/>
          <w:szCs w:val="24"/>
        </w:rPr>
        <w:t xml:space="preserve">EMS.LB.TL.09.02. تعليمات اختبارات ثبات الألوان</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EMS.BY.PRO.06.01 إجراء اعتماد الألوان؛ EMS.BY.TL.06.05 تعليمات تحضير عينة اللون المخبرية واعتمادها</w:t>
      </w:r>
    </w:p>
    <w:p>
      <w:pPr>
        <w:pStyle w:val="ListeParagraf"/>
        <w:numPr>
          <w:ilvl w:val="0"/>
          <w:numId w:val="1"/>
        </w:numPr>
        <w:bidi/>
        <w:spacing w:after="60"/>
        <w:jc w:val="both"/>
      </w:pPr>
      <w:r>
        <w:rPr>
          <w:rFonts w:ascii="Calibri" w:hAnsi="Calibri" w:cs="Arial"/>
          <w:rtl/>
          <w:sz w:val="24"/>
          <w:szCs w:val="24"/>
        </w:rPr>
        <w:t xml:space="preserve">نموذج عمل اللون المخبري (EMS.QA.FRM.07.16)، بطاقة أرشيف الألوان (EMS.QA.KRT.07.01)، تقرير اختبار تشغيل الجيغر (EMS.QA.FRM.07.17)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المصبغة شهريًا نسبة اعتماد عينات اللون من المحاولة الأولى وعدد المحاولات لكل لون ومدة الإنجاز من الطلب حتى الاعتماد وعدد شكاوى اللون الواردة من الإنتاج الكمي. وتُرفع النتائج إلى مدير مصنع المصبغة. وتُراجع هذه التعليمات سنويًا أو بعد أي عدم مطابقة لونية جسيمة.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Boyahane Müdürü  ..........................</w:t>
      </w:r>
    </w:p>
    <w:p>
      <w:pPr>
        <w:pStyle w:val="ListeParagraf"/>
        <w:spacing w:before="40" w:after="0"/>
        <w:ind w:left="709"/>
      </w:pPr>
      <w:r>
        <w:rPr>
          <w:rFonts w:ascii="Calibri" w:hAnsi="Calibri" w:cs="Calibri"/>
          <w:b/>
          <w:bCs/>
          <w:sz w:val="20"/>
          <w:szCs w:val="20"/>
        </w:rPr>
        <w:t xml:space="preserve">Kontrol: Boyahane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LAB-DIP PREPARATION AND APPROVAL INSTRUCTION</w:t>
          </w:r>
        </w:p>
        <w:p>
          <w:pPr>
            <w:pStyle w:val="GvdeMetni2"/>
            <w:bidi/>
            <w:spacing w:line="276" w:lineRule="auto"/>
            <w:jc w:val="center"/>
          </w:pPr>
          <w:r>
            <w:rPr>
              <w:rFonts w:asciiTheme="minorHAnsi" w:hAnsiTheme="minorHAnsi" w:cs="Arial"/>
              <w:b/>
              <w:bCs/>
              <w:color w:val="000000" w:themeColor="text1"/>
              <w:sz w:val="22"/>
              <w:szCs w:val="22"/>
              <w:rtl/>
            </w:rPr>
            <w:t>تعليمات تحضير عينة اللون المخبرية واعتمادها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EMS.BY.TL.06.05.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EMS.BY.TL.06.05. LAB-DIP PREPARATION AND APPROVAL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