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the laboratory of Eroglu Knitting (EMS) checks the pH value, free and hydrolysable formaldehyde and the release of banned aromatic amines from azo dyes (EMS.LB.TL.09.05), so that products meet the restricted substances requirements of the customer, OEKO-TEX and the EMS RSL before shipment.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fabrics, yarns, trims and garments tested in the EMS laboratory for pH, formaldehyde and azo dyes, including screening tests of incoming, bulk and final products. Tests that require an accredited external laboratory (full RSL package, arylamine confirmation by chromatography) are ordered through the Laboratory Manager and follow the same decision rules.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Defines the test plan according to the customer specification and RSL, approves the results, releases or holds the lot and selects the accredited external laboratory.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w:t>
      </w:r>
      <w:r>
        <w:rPr>
          <w:rFonts w:ascii="Calibri" w:hAnsi="Calibri" w:cs="Arial"/>
          <w:sz w:val="24"/>
          <w:szCs w:val="24"/>
        </w:rPr>
        <w:t xml:space="preserve"> Prepares the specimens and solutions, performs the tests, records the results on the RSL Test Result Form (EMS.LB.FRM.09.02) and keeps the test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Reviews the results, decides on the lot status together with the Laboratory Manager and opens a DOP/CAPA for limit exceedance.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 Production Manager:</w:t>
      </w:r>
      <w:r>
        <w:rPr>
          <w:rFonts w:ascii="Calibri" w:hAnsi="Calibri" w:cs="Arial"/>
          <w:sz w:val="24"/>
          <w:szCs w:val="24"/>
        </w:rPr>
        <w:t xml:space="preserve"> Provides the dye and chemical information of the lot and applies corrective treatment.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 / Chemical Management Officer:</w:t>
      </w:r>
      <w:r>
        <w:rPr>
          <w:rFonts w:ascii="Calibri" w:hAnsi="Calibri" w:cs="Arial"/>
          <w:sz w:val="24"/>
          <w:szCs w:val="24"/>
        </w:rPr>
        <w:t xml:space="preserve"> Checks the chemicals used against the ZDHC MRSL and supports root cause analysis.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pH of aqueous extract:</w:t>
      </w:r>
      <w:r>
        <w:rPr>
          <w:rFonts w:ascii="Calibri" w:hAnsi="Calibri" w:cs="Arial"/>
          <w:sz w:val="24"/>
          <w:szCs w:val="24"/>
        </w:rPr>
        <w:t xml:space="preserve"> The pH value of the water extract of the textile, measured according to ISO 3071; typical skin-friendly range is 4.0–7.5 unless the customer specifies otherwise.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Formaldehyde:</w:t>
      </w:r>
      <w:r>
        <w:rPr>
          <w:rFonts w:ascii="Calibri" w:hAnsi="Calibri" w:cs="Arial"/>
          <w:sz w:val="24"/>
          <w:szCs w:val="24"/>
        </w:rPr>
        <w:t xml:space="preserve"> Free and partially hydrolysable formaldehyde detected in the water extract by the spectrophotometric method (ISO 14184-1 / AATCC 112).</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Azo dye:</w:t>
      </w:r>
      <w:r>
        <w:rPr>
          <w:rFonts w:ascii="Calibri" w:hAnsi="Calibri" w:cs="Arial"/>
          <w:sz w:val="24"/>
          <w:szCs w:val="24"/>
        </w:rPr>
        <w:t xml:space="preserve"> A dye with an azo group that can split under reductive conditions and release banned aromatic amines (ISO 14362-1 and -3, REACH Annex XVII, entry 43).</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RSL:</w:t>
      </w:r>
      <w:r>
        <w:rPr>
          <w:rFonts w:ascii="Calibri" w:hAnsi="Calibri" w:cs="Arial"/>
          <w:sz w:val="24"/>
          <w:szCs w:val="24"/>
        </w:rPr>
        <w:t xml:space="preserve"> Restricted Substances List; ZDHC MRSL: Manufacturing Restricted Substances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the sample request form for the required tests, the standard, the limits and the report deadline; limits are defined in the customer specification, OEKO-TEX product class and company policy.</w:t>
      </w:r>
    </w:p>
    <w:p>
      <w:pPr>
        <w:pStyle w:val="ListeParagraf"/>
        <w:spacing w:after="80"/>
        <w:ind w:left="709" w:right="0"/>
        <w:jc w:val="both"/>
      </w:pPr>
      <w:r>
        <w:rPr>
          <w:rFonts w:ascii="Calibri" w:hAnsi="Calibri" w:cs="Arial"/>
          <w:sz w:val="24"/>
          <w:szCs w:val="24"/>
        </w:rPr>
        <w:t xml:space="preserve">1.2. Check that the pH meter, balance, spectrophotometer and water bath are calibrated and the buffer solutions (pH 4.01, 7.00, 10.01) and reagents are within expiry date.</w:t>
      </w:r>
    </w:p>
    <w:p>
      <w:pPr>
        <w:pStyle w:val="ListeParagraf"/>
        <w:spacing w:after="80"/>
        <w:ind w:left="709" w:right="0"/>
        <w:jc w:val="both"/>
      </w:pPr>
      <w:r>
        <w:rPr>
          <w:rFonts w:ascii="Calibri" w:hAnsi="Calibri" w:cs="Arial"/>
          <w:sz w:val="24"/>
          <w:szCs w:val="24"/>
        </w:rPr>
        <w:t xml:space="preserve">1.3. Take the sample from the conditioned material, avoid contamination by hand contact, and label each specimen with the sample number and lot.</w:t>
      </w:r>
    </w:p>
    <w:p>
      <w:pPr>
        <w:pStyle w:val="ListeParagraf"/>
        <w:spacing w:after="80"/>
        <w:ind w:left="709" w:right="0"/>
        <w:jc w:val="both"/>
      </w:pPr>
      <w:r>
        <w:rPr>
          <w:rFonts w:ascii="Calibri" w:hAnsi="Calibri" w:cs="Arial"/>
          <w:sz w:val="24"/>
          <w:szCs w:val="24"/>
        </w:rPr>
        <w:t xml:space="preserve">1.4. Review the dye and chemical list of the lot; if azo dyes of concern or formaldehyde-based finishing agents are used, add the related test to the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pH CHECK</w:t>
      </w:r>
    </w:p>
    <w:p>
      <w:pPr>
        <w:pStyle w:val="ListeParagraf"/>
        <w:spacing w:after="80"/>
        <w:ind w:left="709" w:right="0"/>
        <w:jc w:val="both"/>
      </w:pPr>
      <w:r>
        <w:rPr>
          <w:rFonts w:ascii="Calibri" w:hAnsi="Calibri" w:cs="Arial"/>
          <w:sz w:val="24"/>
          <w:szCs w:val="24"/>
        </w:rPr>
        <w:t xml:space="preserve">2.1. Cut about 2 g of specimen into small pieces and place in a clean flask with 100 ml of 0.1 mol/l potassium chloride solution or distilled water according to the method.</w:t>
      </w:r>
    </w:p>
    <w:p>
      <w:pPr>
        <w:pStyle w:val="ListeParagraf"/>
        <w:spacing w:after="80"/>
        <w:ind w:left="709" w:right="0"/>
        <w:jc w:val="both"/>
      </w:pPr>
      <w:r>
        <w:rPr>
          <w:rFonts w:ascii="Calibri" w:hAnsi="Calibri" w:cs="Arial"/>
          <w:sz w:val="24"/>
          <w:szCs w:val="24"/>
        </w:rPr>
        <w:t xml:space="preserve">2.2. Shake mechanically for 60 minutes at room temperature.</w:t>
      </w:r>
    </w:p>
    <w:p>
      <w:pPr>
        <w:pStyle w:val="ListeParagraf"/>
        <w:spacing w:after="80"/>
        <w:ind w:left="709" w:right="0"/>
        <w:jc w:val="both"/>
      </w:pPr>
      <w:r>
        <w:rPr>
          <w:rFonts w:ascii="Calibri" w:hAnsi="Calibri" w:cs="Arial"/>
          <w:sz w:val="24"/>
          <w:szCs w:val="24"/>
        </w:rPr>
        <w:t xml:space="preserve">2.3. Calibrate the pH meter with at least two buffers before each series and measure the extract; record the reading after stabilisation.</w:t>
      </w:r>
    </w:p>
    <w:p>
      <w:pPr>
        <w:pStyle w:val="ListeParagraf"/>
        <w:spacing w:after="80"/>
        <w:ind w:left="709" w:right="0"/>
        <w:jc w:val="both"/>
      </w:pPr>
      <w:r>
        <w:rPr>
          <w:rFonts w:ascii="Calibri" w:hAnsi="Calibri" w:cs="Arial"/>
          <w:sz w:val="24"/>
          <w:szCs w:val="24"/>
        </w:rPr>
        <w:t xml:space="preserve">2.4. Compare with the limits in the specification (example for adult clothing: 4.0–7.5; baby and direct skin contact items: 4.0–7.5 or customer value); record the result.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FORMALDEHYDE CHECK</w:t>
      </w:r>
    </w:p>
    <w:p>
      <w:pPr>
        <w:pStyle w:val="ListeParagraf"/>
        <w:spacing w:after="80"/>
        <w:ind w:left="709" w:right="0"/>
        <w:jc w:val="both"/>
      </w:pPr>
      <w:r>
        <w:rPr>
          <w:rFonts w:ascii="Calibri" w:hAnsi="Calibri" w:cs="Arial"/>
          <w:sz w:val="24"/>
          <w:szCs w:val="24"/>
        </w:rPr>
        <w:t xml:space="preserve">3.1. Weigh 1 g of specimen, place it in 100 ml of water and extract in the water bath at 40 °C for 60 minutes.</w:t>
      </w:r>
    </w:p>
    <w:p>
      <w:pPr>
        <w:pStyle w:val="ListeParagraf"/>
        <w:spacing w:after="80"/>
        <w:ind w:left="709" w:right="0"/>
        <w:jc w:val="both"/>
      </w:pPr>
      <w:r>
        <w:rPr>
          <w:rFonts w:ascii="Calibri" w:hAnsi="Calibri" w:cs="Arial"/>
          <w:sz w:val="24"/>
          <w:szCs w:val="24"/>
        </w:rPr>
        <w:t xml:space="preserve">3.2. Filter the extract, add acetylacetone reagent (Nash method) and develop the colour at 40 °C for 30 minutes.</w:t>
      </w:r>
    </w:p>
    <w:p>
      <w:pPr>
        <w:pStyle w:val="ListeParagraf"/>
        <w:spacing w:after="80"/>
        <w:ind w:left="709" w:right="0"/>
        <w:jc w:val="both"/>
      </w:pPr>
      <w:r>
        <w:rPr>
          <w:rFonts w:ascii="Calibri" w:hAnsi="Calibri" w:cs="Arial"/>
          <w:sz w:val="24"/>
          <w:szCs w:val="24"/>
        </w:rPr>
        <w:t xml:space="preserve">3.3. Measure absorbance with the spectrophotometer at 412 nm and calculate the content in mg/kg from the calibration curve.</w:t>
      </w:r>
    </w:p>
    <w:p>
      <w:pPr>
        <w:pStyle w:val="ListeParagraf"/>
        <w:spacing w:after="80"/>
        <w:ind w:left="709" w:right="0"/>
        <w:jc w:val="both"/>
      </w:pPr>
      <w:r>
        <w:rPr>
          <w:rFonts w:ascii="Calibri" w:hAnsi="Calibri" w:cs="Arial"/>
          <w:sz w:val="24"/>
          <w:szCs w:val="24"/>
        </w:rPr>
        <w:t xml:space="preserve">3.4. Compare with the limits (example: OEKO-TEX class II ≤ 75 mg/kg, class I ≤ 16 mg/kg or not detectable; customer limits apply when stricter) and record the result.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AZO DYE CHECK</w:t>
      </w:r>
    </w:p>
    <w:p>
      <w:pPr>
        <w:pStyle w:val="ListeParagraf"/>
        <w:spacing w:after="80"/>
        <w:ind w:left="709" w:right="0"/>
        <w:jc w:val="both"/>
      </w:pPr>
      <w:r>
        <w:rPr>
          <w:rFonts w:ascii="Calibri" w:hAnsi="Calibri" w:cs="Arial"/>
          <w:sz w:val="24"/>
          <w:szCs w:val="24"/>
        </w:rPr>
        <w:t xml:space="preserve">4.1. For screening, check the dye list and the supplier declaration of the lot against the list of dyes that can release banned amines.</w:t>
      </w:r>
    </w:p>
    <w:p>
      <w:pPr>
        <w:pStyle w:val="ListeParagraf"/>
        <w:spacing w:after="80"/>
        <w:ind w:left="709" w:right="0"/>
        <w:jc w:val="both"/>
      </w:pPr>
      <w:r>
        <w:rPr>
          <w:rFonts w:ascii="Calibri" w:hAnsi="Calibri" w:cs="Arial"/>
          <w:sz w:val="24"/>
          <w:szCs w:val="24"/>
        </w:rPr>
        <w:t xml:space="preserve">4.2. When the customer or OEKO-TEX requires testing, send the sample to the accredited external laboratory for reductive cleavage and amine analysis according to ISO 14362-1/-3; the limit is 30 mg/kg for each listed amine unless the customer sets a lower limit.</w:t>
      </w:r>
    </w:p>
    <w:p>
      <w:pPr>
        <w:pStyle w:val="ListeParagraf"/>
        <w:spacing w:after="80"/>
        <w:ind w:left="709" w:right="0"/>
        <w:jc w:val="both"/>
      </w:pPr>
      <w:r>
        <w:rPr>
          <w:rFonts w:ascii="Calibri" w:hAnsi="Calibri" w:cs="Arial"/>
          <w:sz w:val="24"/>
          <w:szCs w:val="24"/>
        </w:rPr>
        <w:t xml:space="preserve">4.3. Keep the dye supplier declaration and the external test report with the lot file.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RECORDING AND DECISION</w:t>
      </w:r>
    </w:p>
    <w:p>
      <w:pPr>
        <w:pStyle w:val="ListeParagraf"/>
        <w:spacing w:after="80"/>
        <w:ind w:left="709" w:right="0"/>
        <w:jc w:val="both"/>
      </w:pPr>
      <w:r>
        <w:rPr>
          <w:rFonts w:ascii="Calibri" w:hAnsi="Calibri" w:cs="Arial"/>
          <w:sz w:val="24"/>
          <w:szCs w:val="24"/>
        </w:rPr>
        <w:t xml:space="preserve">5.1. Enter pH, formaldehyde and azo results, specimen details, instrument numbers and date on the RSL Test Result Form (EMS.LB.FRM.09.02) and sign.</w:t>
      </w:r>
    </w:p>
    <w:p>
      <w:pPr>
        <w:pStyle w:val="ListeParagraf"/>
        <w:spacing w:after="80"/>
        <w:ind w:left="709" w:right="0"/>
        <w:jc w:val="both"/>
      </w:pPr>
      <w:r>
        <w:rPr>
          <w:rFonts w:ascii="Calibri" w:hAnsi="Calibri" w:cs="Arial"/>
          <w:sz w:val="24"/>
          <w:szCs w:val="24"/>
        </w:rPr>
        <w:t xml:space="preserve">5.2. The Laboratory Manager compares results with the limits and marks the lot PASS or FAIL; the decision is passed to the Quality Assurance Manager for the Lot Decision Form (EMS.LB.FRM.09.03).</w:t>
      </w:r>
    </w:p>
    <w:p>
      <w:pPr>
        <w:pStyle w:val="ListeParagraf"/>
        <w:spacing w:after="80"/>
        <w:ind w:left="709" w:right="0"/>
        <w:jc w:val="both"/>
      </w:pPr>
      <w:r>
        <w:rPr>
          <w:rFonts w:ascii="Calibri" w:hAnsi="Calibri" w:cs="Arial"/>
          <w:sz w:val="24"/>
          <w:szCs w:val="24"/>
        </w:rPr>
        <w:t xml:space="preserve">5.3. Keep retained specimens and records for at least 3 years or longer if the customer requires.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SAFETY RULES / PROHIBITIONS</w:t>
      </w:r>
    </w:p>
    <w:p>
      <w:pPr>
        <w:pStyle w:val="ListeParagraf"/>
        <w:numPr>
          <w:ilvl w:val="0"/>
          <w:numId w:val="1"/>
        </w:numPr>
        <w:spacing w:after="60"/>
        <w:jc w:val="both"/>
      </w:pPr>
      <w:r>
        <w:rPr>
          <w:rFonts w:ascii="Calibri" w:hAnsi="Calibri" w:cs="Arial"/>
          <w:sz w:val="24"/>
          <w:szCs w:val="24"/>
        </w:rPr>
        <w:t xml:space="preserve">Wear gloves, safety glasses and a laboratory coat; prepare acetylacetone and acid solutions under the fume hood.</w:t>
      </w:r>
    </w:p>
    <w:p>
      <w:pPr>
        <w:pStyle w:val="ListeParagraf"/>
        <w:numPr>
          <w:ilvl w:val="0"/>
          <w:numId w:val="1"/>
        </w:numPr>
        <w:spacing w:after="60"/>
        <w:jc w:val="both"/>
      </w:pPr>
      <w:r>
        <w:rPr>
          <w:rFonts w:ascii="Calibri" w:hAnsi="Calibri" w:cs="Arial"/>
          <w:sz w:val="24"/>
          <w:szCs w:val="24"/>
        </w:rPr>
        <w:t xml:space="preserve">Label all prepared solutions and dispose of chemical waste as per EMS.KM.TL.20.02 and the waste procedure.</w:t>
      </w:r>
    </w:p>
    <w:p>
      <w:pPr>
        <w:pStyle w:val="ListeParagraf"/>
        <w:numPr>
          <w:ilvl w:val="0"/>
          <w:numId w:val="1"/>
        </w:numPr>
        <w:spacing w:after="60"/>
        <w:jc w:val="both"/>
      </w:pPr>
      <w:r>
        <w:rPr>
          <w:rFonts w:ascii="Calibri" w:hAnsi="Calibri" w:cs="Arial"/>
          <w:sz w:val="24"/>
          <w:szCs w:val="24"/>
        </w:rPr>
        <w:t xml:space="preserve">Do not use out-of-calibration instruments or expired reagents and do not release a lot with a missing or unsigned result.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IN CASE OF PROBLEM</w:t>
      </w:r>
    </w:p>
    <w:p>
      <w:pPr>
        <w:pStyle w:val="ListeParagraf"/>
        <w:spacing w:after="80"/>
        <w:ind w:left="709" w:right="0"/>
        <w:jc w:val="both"/>
      </w:pPr>
      <w:r>
        <w:rPr>
          <w:rFonts w:ascii="Calibri" w:hAnsi="Calibri" w:cs="Arial"/>
          <w:sz w:val="24"/>
          <w:szCs w:val="24"/>
        </w:rPr>
        <w:t xml:space="preserve">7.1. If a result exceeds the limit, repeat the test on a second specimen from the same lot; if confirmed, mark the lot "Hold", inform the Quality Assurance Manager and the Dyehouse Manager and block shipment.</w:t>
      </w:r>
    </w:p>
    <w:p>
      <w:pPr>
        <w:pStyle w:val="ListeParagraf"/>
        <w:spacing w:after="80"/>
        <w:ind w:left="709" w:right="0"/>
        <w:jc w:val="both"/>
      </w:pPr>
      <w:r>
        <w:rPr>
          <w:rFonts w:ascii="Calibri" w:hAnsi="Calibri" w:cs="Arial"/>
          <w:sz w:val="24"/>
          <w:szCs w:val="24"/>
        </w:rPr>
        <w:t xml:space="preserve">7.2. Identify the cause (insufficient rinsing or neutralisation, finishing resin, unapproved dye or chemical) with the Chemical Management Officer and apply corrective treatment, for example additional washing and neutralisation.</w:t>
      </w:r>
    </w:p>
    <w:p>
      <w:pPr>
        <w:pStyle w:val="ListeParagraf"/>
        <w:spacing w:after="80"/>
        <w:ind w:left="709" w:right="0"/>
        <w:jc w:val="both"/>
      </w:pPr>
      <w:r>
        <w:rPr>
          <w:rFonts w:ascii="Calibri" w:hAnsi="Calibri" w:cs="Arial"/>
          <w:sz w:val="24"/>
          <w:szCs w:val="24"/>
        </w:rPr>
        <w:t xml:space="preserve">7.3. Re-test the treated lot; open DOP/CAPA for repeated failures and inform the customer where required by the contract.</w:t>
      </w:r>
    </w:p>
    <w:p>
      <w:pPr>
        <w:pStyle w:val="ListeParagraf"/>
        <w:spacing w:after="80"/>
        <w:ind w:left="709" w:right="0"/>
        <w:jc w:val="both"/>
      </w:pPr>
      <w:r>
        <w:rPr>
          <w:rFonts w:ascii="Calibri" w:hAnsi="Calibri" w:cs="Arial"/>
          <w:sz w:val="24"/>
          <w:szCs w:val="24"/>
        </w:rPr>
        <w:t xml:space="preserve">7.4. In case of chemical contact with skin or eyes, rinse with plenty of water for at least 15 minutes and call the first aider.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EMS.LB.TL.09.05 pH, formaldehyde and azo dye check instruction (EMS.MG.PRO.13.02 RSL and Chemical Compliance Procedure)</w:t>
      </w:r>
    </w:p>
    <w:p>
      <w:pPr>
        <w:pStyle w:val="ListeParagraf"/>
        <w:numPr>
          <w:ilvl w:val="0"/>
          <w:numId w:val="1"/>
        </w:numPr>
        <w:spacing w:after="60"/>
        <w:jc w:val="both"/>
      </w:pPr>
      <w:r>
        <w:rPr>
          <w:rFonts w:ascii="Calibri" w:hAnsi="Calibri" w:cs="Arial"/>
          <w:sz w:val="24"/>
          <w:szCs w:val="24"/>
        </w:rPr>
        <w:t xml:space="preserve">EMS.LB.FRM.09.02 RSL Test Result Form; EMS.LB.FRM.09.03 Lot Decision Form</w:t>
      </w:r>
    </w:p>
    <w:p>
      <w:pPr>
        <w:pStyle w:val="ListeParagraf"/>
        <w:numPr>
          <w:ilvl w:val="0"/>
          <w:numId w:val="1"/>
        </w:numPr>
        <w:spacing w:after="60"/>
        <w:jc w:val="both"/>
      </w:pPr>
      <w:r>
        <w:rPr>
          <w:rFonts w:ascii="Calibri" w:hAnsi="Calibri" w:cs="Arial"/>
          <w:sz w:val="24"/>
          <w:szCs w:val="24"/>
        </w:rPr>
        <w:t xml:space="preserve">EMS.LB.PRO.09.01. Fabric and Product Testing Procedure</w:t>
      </w:r>
    </w:p>
    <w:p>
      <w:pPr>
        <w:pStyle w:val="ListeParagraf"/>
        <w:numPr>
          <w:ilvl w:val="0"/>
          <w:numId w:val="1"/>
        </w:numPr>
        <w:spacing w:after="60"/>
        <w:jc w:val="both"/>
      </w:pPr>
      <w:r>
        <w:rPr>
          <w:rFonts w:ascii="Calibri" w:hAnsi="Calibri" w:cs="Arial"/>
          <w:sz w:val="24"/>
          <w:szCs w:val="24"/>
        </w:rPr>
        <w:t xml:space="preserve">EMS.MG.PRO.13.02. RSL Compliance and Product Testing Procedure</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EMS.KM.TL.20.02. Chemical Container Labelling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The Laboratory Manager reviews RSL failures and report turnaround time (target ≤ 48 hours) monthly with the Quality Assurance and Dyehouse Managers. This instruction is reviewed every year or when the standards, the customer RSL or the OEKO-TEX limits change.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قيام مختبر شركة إيروغلو للتريكو (EMS) بفحص قيمة الرقم الهيدروجيني (pH) والفورمالديهايد الحر والقابل للتحلل المائي وتحرر الأمينات العطرية المحظورة من أصباغ الأزو (EMS.LB.TL.09.05)، بحيث تطابق المنتجات متطلبات المواد المقيدة لدى العميل وOEKO-TEX وقائمة RSL الخاصة بـ EMS قبل الشحن.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الأقمشة والخيوط والإكسسوارات والملابس التي تُفحص في مختبر EMS من حيث الرقم الهيدروجيني والفورمالديهايد وأصباغ الأزو، بما في ذلك الفحوص الأولية للمنتجات الواردة والكمية والنهائية. أما الفحوص التي تتطلب مختبرًا خارجيًا معتمدًا (حزمة RSL الكاملة وتأكيد الأمينات العطرية بالكروماتوغرافيا) فتُطلب عن طريق مدير المختبر وتتبع قواعد القرار نفسها.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يحدد خطة الفحص وفق مواصفات العميل وقائمة RSL، ويعتمد النتائج، ويفرج عن الدفعة أو يوقفها، ويختار المختبر الخارجي المعتمد.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المختبر:</w:t>
      </w:r>
      <w:r>
        <w:rPr>
          <w:rFonts w:ascii="Calibri" w:hAnsi="Calibri" w:cs="Arial"/>
          <w:rtl/>
          <w:sz w:val="24"/>
          <w:szCs w:val="24"/>
        </w:rPr>
        <w:t xml:space="preserve"> يجهز العينات والمحاليل، وينفذ الفحوص، ويسجل النتائج في نموذج نتائج اختبار RSL (EMS.LB.FRM.09.02)، ويحتفظ بسجلات الفحص.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يراجع النتائج، ويقرر حالة الدفعة بالتنسيق مع مدير المختبر، ويفتح إجراءً تصحيحيًا (DOP/CAPA) عند تجاوز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 / الإنتاج:</w:t>
      </w:r>
      <w:r>
        <w:rPr>
          <w:rFonts w:ascii="Calibri" w:hAnsi="Calibri" w:cs="Arial"/>
          <w:rtl/>
          <w:sz w:val="24"/>
          <w:szCs w:val="24"/>
        </w:rPr>
        <w:t xml:space="preserve"> يوفر معلومات الأصباغ والمواد الكيميائية للدفعة ويطبق المعالجة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 / إدارة المواد الكيميائية:</w:t>
      </w:r>
      <w:r>
        <w:rPr>
          <w:rFonts w:ascii="Calibri" w:hAnsi="Calibri" w:cs="Arial"/>
          <w:rtl/>
          <w:sz w:val="24"/>
          <w:szCs w:val="24"/>
        </w:rPr>
        <w:t xml:space="preserve"> يتحقق من المواد الكيميائية المستخدمة مقابل ZDHC MRSL ويدعم تحليل السبب الجذري.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الرقم الهيدروجيني للمستخلص المائي:</w:t>
      </w:r>
      <w:r>
        <w:rPr>
          <w:rFonts w:ascii="Calibri" w:hAnsi="Calibri" w:cs="Arial"/>
          <w:rtl/>
          <w:sz w:val="24"/>
          <w:szCs w:val="24"/>
        </w:rPr>
        <w:t xml:space="preserve"> قيمة pH للمستخلص المائي للمنسوج، تُقاس وفق ISO 3071؛ والنطاق المناسب للجلد عادةً 4.0–7.5 ما لم يحدد العميل غير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الفورمالديهايد:</w:t>
      </w:r>
      <w:r>
        <w:rPr>
          <w:rFonts w:ascii="Calibri" w:hAnsi="Calibri" w:cs="Arial"/>
          <w:rtl/>
          <w:sz w:val="24"/>
          <w:szCs w:val="24"/>
        </w:rPr>
        <w:t xml:space="preserve"> الفورمالديهايد الحر والقابل للتحلل المائي جزئيًا المكتشف في المستخلص المائي بالطريقة الطيفية (ISO 14184-1 / AATCC 112).</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صبغة الأزو:</w:t>
      </w:r>
      <w:r>
        <w:rPr>
          <w:rFonts w:ascii="Calibri" w:hAnsi="Calibri" w:cs="Arial"/>
          <w:rtl/>
          <w:sz w:val="24"/>
          <w:szCs w:val="24"/>
        </w:rPr>
        <w:t xml:space="preserve"> صبغة تحتوي على مجموعة أزو يمكن أن تنقسم في الظروف الاختزالية وتحرر أمينات عطرية محظورة (ISO 14362-1 و-3، ملحق REACH XVII، البند 43).</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RSL:</w:t>
      </w:r>
      <w:r>
        <w:rPr>
          <w:rFonts w:ascii="Calibri" w:hAnsi="Calibri" w:cs="Arial"/>
          <w:rtl/>
          <w:sz w:val="24"/>
          <w:szCs w:val="24"/>
        </w:rPr>
        <w:t xml:space="preserve"> قائمة المواد المقيدة؛ ZDHC MRSL: قائمة المواد المقيدة في التصنيع.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التحقق من نموذج طلب العينة للاطلاع على الفحوص المطلوبة والمعيار والحدود وموعد التقرير؛ وتحدد الحدود في مواصفات العميل وفئة منتج OEKO-TEX وسياسة الشركة.</w:t>
      </w:r>
    </w:p>
    <w:p>
      <w:pPr>
        <w:pStyle w:val="ListeParagraf"/>
        <w:bidi/>
        <w:spacing w:after="80"/>
        <w:ind w:left="0" w:right="709"/>
        <w:jc w:val="both"/>
      </w:pPr>
      <w:r>
        <w:rPr>
          <w:rFonts w:ascii="Calibri" w:hAnsi="Calibri" w:cs="Arial"/>
          <w:rtl/>
          <w:sz w:val="24"/>
          <w:szCs w:val="24"/>
        </w:rPr>
        <w:t xml:space="preserve">1.2. التحقق من معايرة جهاز قياس pH والميزان ومقياس الطيف والحمام المائي، ومن أن المحاليل المنظمة (pH 4.01 و7.00 و10.01) والكواشف ضمن تاريخ الصلاحية.</w:t>
      </w:r>
    </w:p>
    <w:p>
      <w:pPr>
        <w:pStyle w:val="ListeParagraf"/>
        <w:bidi/>
        <w:spacing w:after="80"/>
        <w:ind w:left="0" w:right="709"/>
        <w:jc w:val="both"/>
      </w:pPr>
      <w:r>
        <w:rPr>
          <w:rFonts w:ascii="Calibri" w:hAnsi="Calibri" w:cs="Arial"/>
          <w:rtl/>
          <w:sz w:val="24"/>
          <w:szCs w:val="24"/>
        </w:rPr>
        <w:t xml:space="preserve">1.3. أخذ العينة من المادة المكيفة، وتجنب التلوث بملامسة اليد، ووسم كل عينة برقم العينة والدفعة.</w:t>
      </w:r>
    </w:p>
    <w:p>
      <w:pPr>
        <w:pStyle w:val="ListeParagraf"/>
        <w:bidi/>
        <w:spacing w:after="80"/>
        <w:ind w:left="0" w:right="709"/>
        <w:jc w:val="both"/>
      </w:pPr>
      <w:r>
        <w:rPr>
          <w:rFonts w:ascii="Calibri" w:hAnsi="Calibri" w:cs="Arial"/>
          <w:rtl/>
          <w:sz w:val="24"/>
          <w:szCs w:val="24"/>
        </w:rPr>
        <w:t xml:space="preserve">1.4. مراجعة قائمة الأصباغ والمواد الكيميائية للدفعة؛ وعند استخدام أصباغ أزو مثيرة للقلق أو مواد تجهيز قائمة على الفورمالديهايد يضاف الفحص المرتبط بها إلى الخطة.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فحص الرقم الهيدروجيني</w:t>
      </w:r>
    </w:p>
    <w:p>
      <w:pPr>
        <w:pStyle w:val="ListeParagraf"/>
        <w:bidi/>
        <w:spacing w:after="80"/>
        <w:ind w:left="0" w:right="709"/>
        <w:jc w:val="both"/>
      </w:pPr>
      <w:r>
        <w:rPr>
          <w:rFonts w:ascii="Calibri" w:hAnsi="Calibri" w:cs="Arial"/>
          <w:rtl/>
          <w:sz w:val="24"/>
          <w:szCs w:val="24"/>
        </w:rPr>
        <w:t xml:space="preserve">2.1. قص نحو 2 غرام من العينة إلى قطع صغيرة ووضعها في دورق نظيف مع 100 مل من محلول كلوريد البوتاسيوم 0.1 مول/لتر أو ماء مقطر وفق الطريقة.</w:t>
      </w:r>
    </w:p>
    <w:p>
      <w:pPr>
        <w:pStyle w:val="ListeParagraf"/>
        <w:bidi/>
        <w:spacing w:after="80"/>
        <w:ind w:left="0" w:right="709"/>
        <w:jc w:val="both"/>
      </w:pPr>
      <w:r>
        <w:rPr>
          <w:rFonts w:ascii="Calibri" w:hAnsi="Calibri" w:cs="Arial"/>
          <w:rtl/>
          <w:sz w:val="24"/>
          <w:szCs w:val="24"/>
        </w:rPr>
        <w:t xml:space="preserve">2.2. الرج آليًا لمدة 60 دقيقة في درجة حرارة الغرفة.</w:t>
      </w:r>
    </w:p>
    <w:p>
      <w:pPr>
        <w:pStyle w:val="ListeParagraf"/>
        <w:bidi/>
        <w:spacing w:after="80"/>
        <w:ind w:left="0" w:right="709"/>
        <w:jc w:val="both"/>
      </w:pPr>
      <w:r>
        <w:rPr>
          <w:rFonts w:ascii="Calibri" w:hAnsi="Calibri" w:cs="Arial"/>
          <w:rtl/>
          <w:sz w:val="24"/>
          <w:szCs w:val="24"/>
        </w:rPr>
        <w:t xml:space="preserve">2.3. معايرة جهاز pH بمحلولين منظمين على الأقل قبل كل سلسلة، ثم قياس المستخلص وتسجيل القراءة بعد استقرارها.</w:t>
      </w:r>
    </w:p>
    <w:p>
      <w:pPr>
        <w:pStyle w:val="ListeParagraf"/>
        <w:bidi/>
        <w:spacing w:after="80"/>
        <w:ind w:left="0" w:right="709"/>
        <w:jc w:val="both"/>
      </w:pPr>
      <w:r>
        <w:rPr>
          <w:rFonts w:ascii="Calibri" w:hAnsi="Calibri" w:cs="Arial"/>
          <w:rtl/>
          <w:sz w:val="24"/>
          <w:szCs w:val="24"/>
        </w:rPr>
        <w:t xml:space="preserve">2.4. المقارنة مع الحدود الواردة في المواصفات (مثال للملابس الاعتيادية: 4.0–7.5؛ ولمنتجات الأطفال والتماس المباشر مع الجلد: 4.0–7.5 أو قيمة العميل)؛ وتسجيل النتيجة.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فحص الفورمالديهايد</w:t>
      </w:r>
    </w:p>
    <w:p>
      <w:pPr>
        <w:pStyle w:val="ListeParagraf"/>
        <w:bidi/>
        <w:spacing w:after="80"/>
        <w:ind w:left="0" w:right="709"/>
        <w:jc w:val="both"/>
      </w:pPr>
      <w:r>
        <w:rPr>
          <w:rFonts w:ascii="Calibri" w:hAnsi="Calibri" w:cs="Arial"/>
          <w:rtl/>
          <w:sz w:val="24"/>
          <w:szCs w:val="24"/>
        </w:rPr>
        <w:t xml:space="preserve">3.1. وزن 1 غرام من العينة ووضعها في 100 مل ماء واستخلاصها في الحمام المائي عند 40 °م لمدة 60 دقيقة.</w:t>
      </w:r>
    </w:p>
    <w:p>
      <w:pPr>
        <w:pStyle w:val="ListeParagraf"/>
        <w:bidi/>
        <w:spacing w:after="80"/>
        <w:ind w:left="0" w:right="709"/>
        <w:jc w:val="both"/>
      </w:pPr>
      <w:r>
        <w:rPr>
          <w:rFonts w:ascii="Calibri" w:hAnsi="Calibri" w:cs="Arial"/>
          <w:rtl/>
          <w:sz w:val="24"/>
          <w:szCs w:val="24"/>
        </w:rPr>
        <w:t xml:space="preserve">3.2. ترشيح المستخلص وإضافة كاشف أسيتيل أسيتون (طريقة ناش) وتطوير اللون عند 40 °م لمدة 30 دقيقة.</w:t>
      </w:r>
    </w:p>
    <w:p>
      <w:pPr>
        <w:pStyle w:val="ListeParagraf"/>
        <w:bidi/>
        <w:spacing w:after="80"/>
        <w:ind w:left="0" w:right="709"/>
        <w:jc w:val="both"/>
      </w:pPr>
      <w:r>
        <w:rPr>
          <w:rFonts w:ascii="Calibri" w:hAnsi="Calibri" w:cs="Arial"/>
          <w:rtl/>
          <w:sz w:val="24"/>
          <w:szCs w:val="24"/>
        </w:rPr>
        <w:t xml:space="preserve">3.3. قياس الامتصاص بمقياس الطيف عند 412 نانومتر وحساب المحتوى بوحدة ملغ/كغ من منحنى المعايرة.</w:t>
      </w:r>
    </w:p>
    <w:p>
      <w:pPr>
        <w:pStyle w:val="ListeParagraf"/>
        <w:bidi/>
        <w:spacing w:after="80"/>
        <w:ind w:left="0" w:right="709"/>
        <w:jc w:val="both"/>
      </w:pPr>
      <w:r>
        <w:rPr>
          <w:rFonts w:ascii="Calibri" w:hAnsi="Calibri" w:cs="Arial"/>
          <w:rtl/>
          <w:sz w:val="24"/>
          <w:szCs w:val="24"/>
        </w:rPr>
        <w:t xml:space="preserve">3.4. المقارنة مع الحدود (مثال: الفئة II في OEKO-TEX ≤ 75 ملغ/كغ، والفئة I ≤ 16 ملغ/كغ أو غير مكتشف؛ وتطبق حدود العميل إذا كانت أشد) وتسجيل النتيجة.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فحص أصباغ الأزو</w:t>
      </w:r>
    </w:p>
    <w:p>
      <w:pPr>
        <w:pStyle w:val="ListeParagraf"/>
        <w:bidi/>
        <w:spacing w:after="80"/>
        <w:ind w:left="0" w:right="709"/>
        <w:jc w:val="both"/>
      </w:pPr>
      <w:r>
        <w:rPr>
          <w:rFonts w:ascii="Calibri" w:hAnsi="Calibri" w:cs="Arial"/>
          <w:rtl/>
          <w:sz w:val="24"/>
          <w:szCs w:val="24"/>
        </w:rPr>
        <w:t xml:space="preserve">4.1. في الفحص الأولي تتم مقارنة قائمة الأصباغ وإقرار المورد الخاص بالدفعة مع قائمة الأصباغ التي قد تحرر أمينات محظورة.</w:t>
      </w:r>
    </w:p>
    <w:p>
      <w:pPr>
        <w:pStyle w:val="ListeParagraf"/>
        <w:bidi/>
        <w:spacing w:after="80"/>
        <w:ind w:left="0" w:right="709"/>
        <w:jc w:val="both"/>
      </w:pPr>
      <w:r>
        <w:rPr>
          <w:rFonts w:ascii="Calibri" w:hAnsi="Calibri" w:cs="Arial"/>
          <w:rtl/>
          <w:sz w:val="24"/>
          <w:szCs w:val="24"/>
        </w:rPr>
        <w:t xml:space="preserve">4.2. عندما يشترط العميل أو OEKO-TEX الفحص، تُرسل العينة إلى المختبر الخارجي المعتمد لإجراء الانشطار الاختزالي وتحليل الأمينات وفق ISO 14362-1/-3؛ والحد 30 ملغ/كغ لكل أمين مدرج ما لم يضع العميل حدًا أدنى.</w:t>
      </w:r>
    </w:p>
    <w:p>
      <w:pPr>
        <w:pStyle w:val="ListeParagraf"/>
        <w:bidi/>
        <w:spacing w:after="80"/>
        <w:ind w:left="0" w:right="709"/>
        <w:jc w:val="both"/>
      </w:pPr>
      <w:r>
        <w:rPr>
          <w:rFonts w:ascii="Calibri" w:hAnsi="Calibri" w:cs="Arial"/>
          <w:rtl/>
          <w:sz w:val="24"/>
          <w:szCs w:val="24"/>
        </w:rPr>
        <w:t xml:space="preserve">4.3. يحتفظ بإقرار مورد الصبغة وتقرير الفحص الخارجي في ملف الدفعة.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التسجيل والقرار</w:t>
      </w:r>
    </w:p>
    <w:p>
      <w:pPr>
        <w:pStyle w:val="ListeParagraf"/>
        <w:bidi/>
        <w:spacing w:after="80"/>
        <w:ind w:left="0" w:right="709"/>
        <w:jc w:val="both"/>
      </w:pPr>
      <w:r>
        <w:rPr>
          <w:rFonts w:ascii="Calibri" w:hAnsi="Calibri" w:cs="Arial"/>
          <w:rtl/>
          <w:sz w:val="24"/>
          <w:szCs w:val="24"/>
        </w:rPr>
        <w:t xml:space="preserve">5.1. تدوين نتائج pH والفورمالديهايد والأزو وتفاصيل العينة وأرقام الأجهزة والتاريخ في نموذج نتائج اختبار RSL (EMS.LB.FRM.09.02) والتوقيع عليه.</w:t>
      </w:r>
    </w:p>
    <w:p>
      <w:pPr>
        <w:pStyle w:val="ListeParagraf"/>
        <w:bidi/>
        <w:spacing w:after="80"/>
        <w:ind w:left="0" w:right="709"/>
        <w:jc w:val="both"/>
      </w:pPr>
      <w:r>
        <w:rPr>
          <w:rFonts w:ascii="Calibri" w:hAnsi="Calibri" w:cs="Arial"/>
          <w:rtl/>
          <w:sz w:val="24"/>
          <w:szCs w:val="24"/>
        </w:rPr>
        <w:t xml:space="preserve">5.2. يقارن مدير المختبر النتائج بالحدود ويصنف الدفعة مقبولة أو مرفوضة؛ ويحال القرار إلى مدير ضمان الجودة لإصدار نموذج قرار الدفعة (EMS.LB.FRM.09.03).</w:t>
      </w:r>
    </w:p>
    <w:p>
      <w:pPr>
        <w:pStyle w:val="ListeParagraf"/>
        <w:bidi/>
        <w:spacing w:after="80"/>
        <w:ind w:left="0" w:right="709"/>
        <w:jc w:val="both"/>
      </w:pPr>
      <w:r>
        <w:rPr>
          <w:rFonts w:ascii="Calibri" w:hAnsi="Calibri" w:cs="Arial"/>
          <w:rtl/>
          <w:sz w:val="24"/>
          <w:szCs w:val="24"/>
        </w:rPr>
        <w:t xml:space="preserve">5.3. يحتفظ بالعينات المحفوظة والسجلات لمدة 3 سنوات على الأقل أو أكثر إذا اشترط العميل ذلك.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قواعد السلامة / المحظورات</w:t>
      </w:r>
    </w:p>
    <w:p>
      <w:pPr>
        <w:pStyle w:val="ListeParagraf"/>
        <w:numPr>
          <w:ilvl w:val="0"/>
          <w:numId w:val="1"/>
        </w:numPr>
        <w:bidi/>
        <w:spacing w:after="60"/>
        <w:jc w:val="both"/>
      </w:pPr>
      <w:r>
        <w:rPr>
          <w:rFonts w:ascii="Calibri" w:hAnsi="Calibri" w:cs="Arial"/>
          <w:rtl/>
          <w:sz w:val="24"/>
          <w:szCs w:val="24"/>
        </w:rPr>
        <w:t xml:space="preserve">ارتداء القفازات ونظارات السلامة ومعطف المختبر؛ وتحضير محاليل الأسيتيل أسيتون والأحماض تحت خزانة الشفط.</w:t>
      </w:r>
    </w:p>
    <w:p>
      <w:pPr>
        <w:pStyle w:val="ListeParagraf"/>
        <w:numPr>
          <w:ilvl w:val="0"/>
          <w:numId w:val="1"/>
        </w:numPr>
        <w:bidi/>
        <w:spacing w:after="60"/>
        <w:jc w:val="both"/>
      </w:pPr>
      <w:r>
        <w:rPr>
          <w:rFonts w:ascii="Calibri" w:hAnsi="Calibri" w:cs="Arial"/>
          <w:rtl/>
          <w:sz w:val="24"/>
          <w:szCs w:val="24"/>
        </w:rPr>
        <w:t xml:space="preserve">وسم جميع المحاليل المحضرة والتخلص من النفايات الكيميائية وفق EMS.KM.TL.20.02 وإجراء النفايات.</w:t>
      </w:r>
    </w:p>
    <w:p>
      <w:pPr>
        <w:pStyle w:val="ListeParagraf"/>
        <w:numPr>
          <w:ilvl w:val="0"/>
          <w:numId w:val="1"/>
        </w:numPr>
        <w:bidi/>
        <w:spacing w:after="60"/>
        <w:jc w:val="both"/>
      </w:pPr>
      <w:r>
        <w:rPr>
          <w:rFonts w:ascii="Calibri" w:hAnsi="Calibri" w:cs="Arial"/>
          <w:rtl/>
          <w:sz w:val="24"/>
          <w:szCs w:val="24"/>
        </w:rPr>
        <w:t xml:space="preserve">عدم استخدام أجهزة خارج المعايرة أو كواشف منتهية الصلاحية، وعدم الإفراج عن دفعة نتيجتها مفقودة أو غير موقعة.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في حالة وجود مشكلة</w:t>
      </w:r>
    </w:p>
    <w:p>
      <w:pPr>
        <w:pStyle w:val="ListeParagraf"/>
        <w:bidi/>
        <w:spacing w:after="80"/>
        <w:ind w:left="0" w:right="709"/>
        <w:jc w:val="both"/>
      </w:pPr>
      <w:r>
        <w:rPr>
          <w:rFonts w:ascii="Calibri" w:hAnsi="Calibri" w:cs="Arial"/>
          <w:rtl/>
          <w:sz w:val="24"/>
          <w:szCs w:val="24"/>
        </w:rPr>
        <w:t xml:space="preserve">7.1. إذا تجاوزت النتيجة الحد، يعاد الفحص على عينة ثانية من الدفعة نفسها؛ وعند التأكيد توسم الدفعة "موقوفة" ويبلغ مدير ضمان الجودة ومدير المصبغة ويمنع الشحن.</w:t>
      </w:r>
    </w:p>
    <w:p>
      <w:pPr>
        <w:pStyle w:val="ListeParagraf"/>
        <w:bidi/>
        <w:spacing w:after="80"/>
        <w:ind w:left="0" w:right="709"/>
        <w:jc w:val="both"/>
      </w:pPr>
      <w:r>
        <w:rPr>
          <w:rFonts w:ascii="Calibri" w:hAnsi="Calibri" w:cs="Arial"/>
          <w:rtl/>
          <w:sz w:val="24"/>
          <w:szCs w:val="24"/>
        </w:rPr>
        <w:t xml:space="preserve">7.2. تحديد السبب (عدم كفاية الشطف أو التعادل أو راتنج التجهيز أو صبغة أو مادة كيميائية غير معتمدة) مع مسؤول إدارة المواد الكيميائية وتطبيق المعالجة التصحيحية، مثل الغسيل الإضافي والتعادل.</w:t>
      </w:r>
    </w:p>
    <w:p>
      <w:pPr>
        <w:pStyle w:val="ListeParagraf"/>
        <w:bidi/>
        <w:spacing w:after="80"/>
        <w:ind w:left="0" w:right="709"/>
        <w:jc w:val="both"/>
      </w:pPr>
      <w:r>
        <w:rPr>
          <w:rFonts w:ascii="Calibri" w:hAnsi="Calibri" w:cs="Arial"/>
          <w:rtl/>
          <w:sz w:val="24"/>
          <w:szCs w:val="24"/>
        </w:rPr>
        <w:t xml:space="preserve">7.3. إعادة فحص الدفعة المعالجة؛ وفتح DOP/CAPA عند تكرار الفشل، وإبلاغ العميل عند اشتراط العقد ذلك.</w:t>
      </w:r>
    </w:p>
    <w:p>
      <w:pPr>
        <w:pStyle w:val="ListeParagraf"/>
        <w:bidi/>
        <w:spacing w:after="80"/>
        <w:ind w:left="0" w:right="709"/>
        <w:jc w:val="both"/>
      </w:pPr>
      <w:r>
        <w:rPr>
          <w:rFonts w:ascii="Calibri" w:hAnsi="Calibri" w:cs="Arial"/>
          <w:rtl/>
          <w:sz w:val="24"/>
          <w:szCs w:val="24"/>
        </w:rPr>
        <w:t xml:space="preserve">7.4. عند ملامسة المواد الكيميائية للجلد أو العينين تُغسل بكمية كبيرة من الماء لمدة 15 دقيقة على الأقل ويُستدعى المسعف.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EMS.LB.TL.09.05 تعليمات فحص pH والفورمالديهايد وأصباغ الأزو (EMS.MG.PRO.13.02 إجراء RSL والامتثال الكيميائي)</w:t>
      </w:r>
    </w:p>
    <w:p>
      <w:pPr>
        <w:pStyle w:val="ListeParagraf"/>
        <w:numPr>
          <w:ilvl w:val="0"/>
          <w:numId w:val="1"/>
        </w:numPr>
        <w:bidi/>
        <w:spacing w:after="60"/>
        <w:jc w:val="both"/>
      </w:pPr>
      <w:r>
        <w:rPr>
          <w:rFonts w:ascii="Calibri" w:hAnsi="Calibri" w:cs="Arial"/>
          <w:rtl/>
          <w:sz w:val="24"/>
          <w:szCs w:val="24"/>
        </w:rPr>
        <w:t xml:space="preserve">EMS.LB.FRM.09.02 نموذج نتائج اختبار RSL؛ EMS.LB.FRM.09.03 نموذج قرار الدفعة</w:t>
      </w:r>
    </w:p>
    <w:p>
      <w:pPr>
        <w:pStyle w:val="ListeParagraf"/>
        <w:numPr>
          <w:ilvl w:val="0"/>
          <w:numId w:val="1"/>
        </w:numPr>
        <w:bidi/>
        <w:spacing w:after="60"/>
        <w:jc w:val="both"/>
      </w:pPr>
      <w:r>
        <w:rPr>
          <w:rFonts w:ascii="Calibri" w:hAnsi="Calibri" w:cs="Arial"/>
          <w:rtl/>
          <w:sz w:val="24"/>
          <w:szCs w:val="24"/>
        </w:rPr>
        <w:t xml:space="preserve">EMS.LB.PRO.09.01. إجراء فحص الأقمشة والمنتجات</w:t>
      </w:r>
    </w:p>
    <w:p>
      <w:pPr>
        <w:pStyle w:val="ListeParagraf"/>
        <w:numPr>
          <w:ilvl w:val="0"/>
          <w:numId w:val="1"/>
        </w:numPr>
        <w:bidi/>
        <w:spacing w:after="60"/>
        <w:jc w:val="both"/>
      </w:pPr>
      <w:r>
        <w:rPr>
          <w:rFonts w:ascii="Calibri" w:hAnsi="Calibri" w:cs="Arial"/>
          <w:rtl/>
          <w:sz w:val="24"/>
          <w:szCs w:val="24"/>
        </w:rPr>
        <w:t xml:space="preserve">EMS.MG.PRO.13.02. إجراء الامتثال لقائمة RSL وفحص المنتجات</w:t>
      </w:r>
    </w:p>
    <w:p>
      <w:pPr>
        <w:pStyle w:val="ListeParagraf"/>
        <w:numPr>
          <w:ilvl w:val="0"/>
          <w:numId w:val="1"/>
        </w:numPr>
        <w:bidi/>
        <w:spacing w:after="60"/>
        <w:jc w:val="both"/>
      </w:pPr>
      <w:r>
        <w:rPr>
          <w:rFonts w:ascii="Calibri" w:hAnsi="Calibri" w:cs="Arial"/>
          <w:rtl/>
          <w:sz w:val="24"/>
          <w:szCs w:val="24"/>
        </w:rPr>
        <w:t xml:space="preserve">EMS.LB.PRO.09.02. إجراء معايرة معدات القياس</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والتوافق مع ZDHC MRSL</w:t>
      </w:r>
    </w:p>
    <w:p>
      <w:pPr>
        <w:pStyle w:val="ListeParagraf"/>
        <w:numPr>
          <w:ilvl w:val="0"/>
          <w:numId w:val="1"/>
        </w:numPr>
        <w:bidi/>
        <w:spacing w:after="60"/>
        <w:jc w:val="both"/>
      </w:pPr>
      <w:r>
        <w:rPr>
          <w:rFonts w:ascii="Calibri" w:hAnsi="Calibri" w:cs="Arial"/>
          <w:rtl/>
          <w:sz w:val="24"/>
          <w:szCs w:val="24"/>
        </w:rPr>
        <w:t xml:space="preserve">EMS.KM.TL.20.02. تعليمات وسم حاويات المواد الكيميائية</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المنتجات غير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المختبر حالات فشل RSL وزمن إصدار التقارير (الهدف ≤ 48 ساعة) شهريًا مع مديري ضمان الجودة والمصبغة. وتُراجع هذه التعليمات سنويًا أو عند تغير المعايير أو قائمة RSL الخاصة بالعميل أو حدود OEKO-TEX.</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Laboratuvar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PH, FORMALDEHYDE AND AZO DYE CHECK INSTRUCTION</w:t>
          </w:r>
        </w:p>
        <w:p>
          <w:pPr>
            <w:pStyle w:val="GvdeMetni2"/>
            <w:bidi/>
            <w:spacing w:line="276" w:lineRule="auto"/>
            <w:jc w:val="center"/>
          </w:pPr>
          <w:r>
            <w:rPr>
              <w:rFonts w:asciiTheme="minorHAnsi" w:hAnsiTheme="minorHAnsi" w:cs="Arial"/>
              <w:b/>
              <w:bCs/>
              <w:color w:val="000000" w:themeColor="text1"/>
              <w:sz w:val="22"/>
              <w:szCs w:val="22"/>
              <w:rtl/>
            </w:rPr>
            <w:t>تعليمات فحص الرقم الهيدروجيني والفورمالديهايد وأصباغ الأزو</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EMS.LB.TL.09.05.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EMS.LB.TL.09.05. PH, FORMALDEHYDE AND AZO DYE CHECK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