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colour standards are received, how lab dips and dyeing recipes are prepared and approved, and how approved recipes are transferred to bulk production at Eroglu Knitting (EMS), in order to achieve the customer shade right first time. It also defines the approval control points, colour archive, chemical compliance check and the handling of rejected or off-shade results.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colour requests for fabrics and garments dyed at EMS, from receipt of the customer colour standard to lab dip approval, bulk recipe release, recipe archiving and the review of the first bulk result.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Merchandising:</w:t>
      </w:r>
      <w:r>
        <w:rPr>
          <w:rFonts w:ascii="Calibri" w:hAnsi="Calibri" w:cs="Arial"/>
          <w:sz w:val="24"/>
          <w:szCs w:val="24"/>
        </w:rPr>
        <w:t xml:space="preserve"> Sends the customer colour standard, fabric quality and test requirements to the laboratory and forwards lab dips to the customer; records the customer decision.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Manager:</w:t>
      </w:r>
      <w:r>
        <w:rPr>
          <w:rFonts w:ascii="Calibri" w:hAnsi="Calibri" w:cs="Arial"/>
          <w:sz w:val="24"/>
          <w:szCs w:val="24"/>
        </w:rPr>
        <w:t xml:space="preserve"> Plans colour matching, approves lab dips before submission, releases bulk recipes and keeps the colour archive.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Technicians (Colourists):</w:t>
      </w:r>
      <w:r>
        <w:rPr>
          <w:rFonts w:ascii="Calibri" w:hAnsi="Calibri" w:cs="Arial"/>
          <w:sz w:val="24"/>
          <w:szCs w:val="24"/>
        </w:rPr>
        <w:t xml:space="preserve"> Prepare lab dips, measure colour with the spectrophotometer and record recipes.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Dyehouse Manager:</w:t>
      </w:r>
      <w:r>
        <w:rPr>
          <w:rFonts w:ascii="Calibri" w:hAnsi="Calibri" w:cs="Arial"/>
          <w:sz w:val="24"/>
          <w:szCs w:val="24"/>
        </w:rPr>
        <w:t xml:space="preserve"> Reviews the recipe for bulk feasibility and confirms the first bulk batch result.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Manager:</w:t>
      </w:r>
      <w:r>
        <w:rPr>
          <w:rFonts w:ascii="Calibri" w:hAnsi="Calibri" w:cs="Arial"/>
          <w:sz w:val="24"/>
          <w:szCs w:val="24"/>
        </w:rPr>
        <w:t xml:space="preserve"> Confirms that all dyes and auxiliaries in the recipe are approved and ZDHC MRSL compliant.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Verifies the shade standard, fastness test results and the lab-to-bulk comparison; decides on nonconforming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 Calibration Officer:</w:t>
      </w:r>
      <w:r>
        <w:rPr>
          <w:rFonts w:ascii="Calibri" w:hAnsi="Calibri" w:cs="Arial"/>
          <w:sz w:val="24"/>
          <w:szCs w:val="24"/>
        </w:rPr>
        <w:t xml:space="preserve"> Ensures that the spectrophotometer, light cabinet, balances and laboratory machines are calibrated and maintained.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Colour Standard:</w:t>
      </w:r>
      <w:r>
        <w:rPr>
          <w:rFonts w:ascii="Calibri" w:hAnsi="Calibri" w:cs="Arial"/>
          <w:sz w:val="24"/>
          <w:szCs w:val="24"/>
        </w:rPr>
        <w:t xml:space="preserve"> The physical sample or digital reference (for example spectral data) provided by the customer for colour matching.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Delta E (ΔE):</w:t>
      </w:r>
      <w:r>
        <w:rPr>
          <w:rFonts w:ascii="Calibri" w:hAnsi="Calibri" w:cs="Arial"/>
          <w:sz w:val="24"/>
          <w:szCs w:val="24"/>
        </w:rPr>
        <w:t xml:space="preserve"> The measured colour difference between the sample and the standard, expressed with an agreed formula such as CMC (2:1); tolerances are defined in the customer specification.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Bulk Recipe:</w:t>
      </w:r>
      <w:r>
        <w:rPr>
          <w:rFonts w:ascii="Calibri" w:hAnsi="Calibri" w:cs="Arial"/>
          <w:sz w:val="24"/>
          <w:szCs w:val="24"/>
        </w:rPr>
        <w:t xml:space="preserve"> The approved recipe adapted for production machines, including dyes, auxiliaries, liquor ratio, temperature and time.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Light Source:</w:t>
      </w:r>
      <w:r>
        <w:rPr>
          <w:rFonts w:ascii="Calibri" w:hAnsi="Calibri" w:cs="Arial"/>
          <w:sz w:val="24"/>
          <w:szCs w:val="24"/>
        </w:rPr>
        <w:t xml:space="preserve"> The standard illumination (for example D65, TL84, A) under which shade is assessed in the light cabinet.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Metamerism:</w:t>
      </w:r>
      <w:r>
        <w:rPr>
          <w:rFonts w:ascii="Calibri" w:hAnsi="Calibri" w:cs="Arial"/>
          <w:sz w:val="24"/>
          <w:szCs w:val="24"/>
        </w:rPr>
        <w:t xml:space="preserve"> The change in colour match when the light source changes.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 Dip:</w:t>
      </w:r>
      <w:r>
        <w:rPr>
          <w:rFonts w:ascii="Calibri" w:hAnsi="Calibri" w:cs="Arial"/>
          <w:sz w:val="24"/>
          <w:szCs w:val="24"/>
        </w:rPr>
        <w:t xml:space="preserve"> A small laboratory dyed fabric sample prepared to match the colour standard.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Colour Archive:</w:t>
      </w:r>
      <w:r>
        <w:rPr>
          <w:rFonts w:ascii="Calibri" w:hAnsi="Calibri" w:cs="Arial"/>
          <w:sz w:val="24"/>
          <w:szCs w:val="24"/>
        </w:rPr>
        <w:t xml:space="preserve"> The register of approved lab dips, recipes and standards (colour card) kept for repeat orders.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RECEIVING THE COLOUR REQUEST</w:t>
      </w:r>
    </w:p>
    <w:p>
      <w:pPr>
        <w:pStyle w:val="ListeParagraf"/>
        <w:spacing w:after="80"/>
        <w:ind w:left="709" w:right="0"/>
        <w:jc w:val="both"/>
      </w:pPr>
      <w:r>
        <w:rPr>
          <w:rFonts w:ascii="Calibri" w:hAnsi="Calibri" w:cs="Arial"/>
          <w:sz w:val="24"/>
          <w:szCs w:val="24"/>
        </w:rPr>
        <w:t xml:space="preserve">1.1. Merchandising opens a colour request with the colour standard, fabric quality, composition, required light sources, ΔE tolerance, fastness and RSL requirements and target date.</w:t>
      </w:r>
    </w:p>
    <w:p>
      <w:pPr>
        <w:pStyle w:val="ListeParagraf"/>
        <w:spacing w:after="80"/>
        <w:ind w:left="709" w:right="0"/>
        <w:jc w:val="both"/>
      </w:pPr>
      <w:r>
        <w:rPr>
          <w:rFonts w:ascii="Calibri" w:hAnsi="Calibri" w:cs="Arial"/>
          <w:sz w:val="24"/>
          <w:szCs w:val="24"/>
        </w:rPr>
        <w:t xml:space="preserve">1.2. The laboratory registers the request and gives it a colour reference number.</w:t>
      </w:r>
    </w:p>
    <w:p>
      <w:pPr>
        <w:pStyle w:val="ListeParagraf"/>
        <w:spacing w:after="80"/>
        <w:ind w:left="709" w:right="0"/>
        <w:jc w:val="both"/>
      </w:pPr>
      <w:r>
        <w:rPr>
          <w:rFonts w:ascii="Calibri" w:hAnsi="Calibri" w:cs="Arial"/>
          <w:sz w:val="24"/>
          <w:szCs w:val="24"/>
        </w:rPr>
        <w:t xml:space="preserve">1.3. The fabric used for lab dips must be the same quality and pretreatment as the bulk fabric.</w:t>
      </w:r>
    </w:p>
    <w:p>
      <w:pPr>
        <w:pStyle w:val="ListeParagraf"/>
        <w:spacing w:after="80"/>
        <w:ind w:left="709" w:right="0"/>
        <w:jc w:val="both"/>
      </w:pPr>
      <w:r>
        <w:rPr>
          <w:rFonts w:ascii="Calibri" w:hAnsi="Calibri" w:cs="Arial"/>
          <w:sz w:val="24"/>
          <w:szCs w:val="24"/>
        </w:rPr>
        <w:t xml:space="preserve">1.4. The laboratory checks that the standard is measurable and sufficient in size; if not, Merchandising asks the customer for a new standard before work starts.</w:t>
      </w:r>
    </w:p>
    <w:p>
      <w:pPr>
        <w:pStyle w:val="ListeParagraf"/>
        <w:spacing w:after="80"/>
        <w:ind w:left="709" w:right="0"/>
        <w:jc w:val="both"/>
      </w:pPr>
      <w:r>
        <w:rPr>
          <w:rFonts w:ascii="Calibri" w:hAnsi="Calibri" w:cs="Arial"/>
          <w:sz w:val="24"/>
          <w:szCs w:val="24"/>
        </w:rPr>
        <w:t xml:space="preserve">1.5. Requests are planned by priority and target date; delays are reported to Merchandising on the same day.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PREPARING THE LAB DIP</w:t>
      </w:r>
    </w:p>
    <w:p>
      <w:pPr>
        <w:pStyle w:val="ListeParagraf"/>
        <w:spacing w:after="80"/>
        <w:ind w:left="709" w:right="0"/>
        <w:jc w:val="both"/>
      </w:pPr>
      <w:r>
        <w:rPr>
          <w:rFonts w:ascii="Calibri" w:hAnsi="Calibri" w:cs="Arial"/>
          <w:sz w:val="24"/>
          <w:szCs w:val="24"/>
        </w:rPr>
        <w:t xml:space="preserve">2.1. The colourist prepares the first recipe using the colour matching software and the recipe archive, selecting only approved dyes and auxiliaries.</w:t>
      </w:r>
    </w:p>
    <w:p>
      <w:pPr>
        <w:pStyle w:val="ListeParagraf"/>
        <w:spacing w:after="80"/>
        <w:ind w:left="709" w:right="0"/>
        <w:jc w:val="both"/>
      </w:pPr>
      <w:r>
        <w:rPr>
          <w:rFonts w:ascii="Calibri" w:hAnsi="Calibri" w:cs="Arial"/>
          <w:sz w:val="24"/>
          <w:szCs w:val="24"/>
        </w:rPr>
        <w:t xml:space="preserve">2.2. Lab dips are dyed in laboratory machines under conditions similar to bulk (liquor ratio, temperature, time).</w:t>
      </w:r>
    </w:p>
    <w:p>
      <w:pPr>
        <w:pStyle w:val="ListeParagraf"/>
        <w:spacing w:after="80"/>
        <w:ind w:left="709" w:right="0"/>
        <w:jc w:val="both"/>
      </w:pPr>
      <w:r>
        <w:rPr>
          <w:rFonts w:ascii="Calibri" w:hAnsi="Calibri" w:cs="Arial"/>
          <w:sz w:val="24"/>
          <w:szCs w:val="24"/>
        </w:rPr>
        <w:t xml:space="preserve">2.3. Each lab dip is measured with the spectrophotometer and checked visually in the light cabinet under the required light sources, including a metamerism check.</w:t>
      </w:r>
    </w:p>
    <w:p>
      <w:pPr>
        <w:pStyle w:val="ListeParagraf"/>
        <w:spacing w:after="80"/>
        <w:ind w:left="709" w:right="0"/>
        <w:jc w:val="both"/>
      </w:pPr>
      <w:r>
        <w:rPr>
          <w:rFonts w:ascii="Calibri" w:hAnsi="Calibri" w:cs="Arial"/>
          <w:sz w:val="24"/>
          <w:szCs w:val="24"/>
        </w:rPr>
        <w:t xml:space="preserve">2.4. Usually two or three options (A, B, C) within tolerance are prepared; the Laboratory Manager checks them before submission.</w:t>
      </w:r>
    </w:p>
    <w:p>
      <w:pPr>
        <w:pStyle w:val="ListeParagraf"/>
        <w:spacing w:after="80"/>
        <w:ind w:left="709" w:right="0"/>
        <w:jc w:val="both"/>
      </w:pPr>
      <w:r>
        <w:rPr>
          <w:rFonts w:ascii="Calibri" w:hAnsi="Calibri" w:cs="Arial"/>
          <w:sz w:val="24"/>
          <w:szCs w:val="24"/>
        </w:rPr>
        <w:t xml:space="preserve">2.5. Dye and chemical weights are measured on calibrated balances and recorded; the lot of dyes used is recorded.</w:t>
      </w:r>
    </w:p>
    <w:p>
      <w:pPr>
        <w:pStyle w:val="ListeParagraf"/>
        <w:spacing w:after="80"/>
        <w:ind w:left="709" w:right="0"/>
        <w:jc w:val="both"/>
      </w:pPr>
      <w:r>
        <w:rPr>
          <w:rFonts w:ascii="Calibri" w:hAnsi="Calibri" w:cs="Arial"/>
          <w:sz w:val="24"/>
          <w:szCs w:val="24"/>
        </w:rPr>
        <w:t xml:space="preserve">2.6. The spectrophotometer, light cabinet lamps and balances are verified and calibrated at the planned intervals (EMS.LB.PRO.09.02.); a measurement from an instrument without valid calibration is not accepted.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CUSTOMER SUBMISSION AND APPROVAL</w:t>
      </w:r>
    </w:p>
    <w:p>
      <w:pPr>
        <w:pStyle w:val="ListeParagraf"/>
        <w:spacing w:after="80"/>
        <w:ind w:left="709" w:right="0"/>
        <w:jc w:val="both"/>
      </w:pPr>
      <w:r>
        <w:rPr>
          <w:rFonts w:ascii="Calibri" w:hAnsi="Calibri" w:cs="Arial"/>
          <w:sz w:val="24"/>
          <w:szCs w:val="24"/>
        </w:rPr>
        <w:t xml:space="preserve">3.1. Approved options are mounted on a lab dip card showing the colour reference, recipe number, light source and ΔE values and sent to the customer through Merchandising.</w:t>
      </w:r>
    </w:p>
    <w:p>
      <w:pPr>
        <w:pStyle w:val="ListeParagraf"/>
        <w:spacing w:after="80"/>
        <w:ind w:left="709" w:right="0"/>
        <w:jc w:val="both"/>
      </w:pPr>
      <w:r>
        <w:rPr>
          <w:rFonts w:ascii="Calibri" w:hAnsi="Calibri" w:cs="Arial"/>
          <w:sz w:val="24"/>
          <w:szCs w:val="24"/>
        </w:rPr>
        <w:t xml:space="preserve">3.2. The customer decision (approved, rejected with comments, or resubmit) is recorded. Rejected lab dips are corrected according to the comments and resubmitted.</w:t>
      </w:r>
    </w:p>
    <w:p>
      <w:pPr>
        <w:pStyle w:val="ListeParagraf"/>
        <w:spacing w:after="80"/>
        <w:ind w:left="709" w:right="0"/>
        <w:jc w:val="both"/>
      </w:pPr>
      <w:r>
        <w:rPr>
          <w:rFonts w:ascii="Calibri" w:hAnsi="Calibri" w:cs="Arial"/>
          <w:sz w:val="24"/>
          <w:szCs w:val="24"/>
        </w:rPr>
        <w:t xml:space="preserve">3.3. The approved lab dip card is kept as the shade standard for bulk production and shade continuity.</w:t>
      </w:r>
    </w:p>
    <w:p>
      <w:pPr>
        <w:pStyle w:val="ListeParagraf"/>
        <w:spacing w:after="80"/>
        <w:ind w:left="709" w:right="0"/>
        <w:jc w:val="both"/>
      </w:pPr>
      <w:r>
        <w:rPr>
          <w:rFonts w:ascii="Calibri" w:hAnsi="Calibri" w:cs="Arial"/>
          <w:sz w:val="24"/>
          <w:szCs w:val="24"/>
        </w:rPr>
        <w:t xml:space="preserve">3.4. Bulk production does not start without a recorded customer approval or written authorisation by Merchandising.</w:t>
      </w:r>
    </w:p>
    <w:p>
      <w:pPr>
        <w:pStyle w:val="ListeParagraf"/>
        <w:spacing w:after="80"/>
        <w:ind w:left="709" w:right="0"/>
        <w:jc w:val="both"/>
      </w:pPr>
      <w:r>
        <w:rPr>
          <w:rFonts w:ascii="Calibri" w:hAnsi="Calibri" w:cs="Arial"/>
          <w:sz w:val="24"/>
          <w:szCs w:val="24"/>
        </w:rPr>
        <w:t xml:space="preserve">3.5. The number of submissions per colour is recorded; a colour with more than the planned number of submissions is reviewed by the Laboratory Manager.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TRANSFER TO BULK</w:t>
      </w:r>
    </w:p>
    <w:p>
      <w:pPr>
        <w:pStyle w:val="ListeParagraf"/>
        <w:spacing w:after="80"/>
        <w:ind w:left="709" w:right="0"/>
        <w:jc w:val="both"/>
      </w:pPr>
      <w:r>
        <w:rPr>
          <w:rFonts w:ascii="Calibri" w:hAnsi="Calibri" w:cs="Arial"/>
          <w:sz w:val="24"/>
          <w:szCs w:val="24"/>
        </w:rPr>
        <w:t xml:space="preserve">4.1. The laboratory converts the approved recipe to a bulk recipe according to the machine type, liquor ratio and fabric weight.</w:t>
      </w:r>
    </w:p>
    <w:p>
      <w:pPr>
        <w:pStyle w:val="ListeParagraf"/>
        <w:spacing w:after="80"/>
        <w:ind w:left="709" w:right="0"/>
        <w:jc w:val="both"/>
      </w:pPr>
      <w:r>
        <w:rPr>
          <w:rFonts w:ascii="Calibri" w:hAnsi="Calibri" w:cs="Arial"/>
          <w:sz w:val="24"/>
          <w:szCs w:val="24"/>
        </w:rPr>
        <w:t xml:space="preserve">4.2. For new colours or new fabric qualities, a pre-bulk or first batch is dyed and checked against the approved lab dip before running the full order.</w:t>
      </w:r>
    </w:p>
    <w:p>
      <w:pPr>
        <w:pStyle w:val="ListeParagraf"/>
        <w:spacing w:after="80"/>
        <w:ind w:left="709" w:right="0"/>
        <w:jc w:val="both"/>
      </w:pPr>
      <w:r>
        <w:rPr>
          <w:rFonts w:ascii="Calibri" w:hAnsi="Calibri" w:cs="Arial"/>
          <w:sz w:val="24"/>
          <w:szCs w:val="24"/>
        </w:rPr>
        <w:t xml:space="preserve">4.3. Bulk recipe changes are made only by the laboratory and are recorded with the reason.</w:t>
      </w:r>
    </w:p>
    <w:p>
      <w:pPr>
        <w:pStyle w:val="ListeParagraf"/>
        <w:spacing w:after="80"/>
        <w:ind w:left="709" w:right="0"/>
        <w:jc w:val="both"/>
      </w:pPr>
      <w:r>
        <w:rPr>
          <w:rFonts w:ascii="Calibri" w:hAnsi="Calibri" w:cs="Arial"/>
          <w:sz w:val="24"/>
          <w:szCs w:val="24"/>
        </w:rPr>
        <w:t xml:space="preserve">4.4. The Dyehouse Manager reviews the bulk recipe and the first batch result; the result is recorded in the process documentation (EMS.BY.PRO.06.02.).</w:t>
      </w:r>
    </w:p>
    <w:p>
      <w:pPr>
        <w:pStyle w:val="ListeParagraf"/>
        <w:spacing w:after="80"/>
        <w:ind w:left="709" w:right="0"/>
        <w:jc w:val="both"/>
      </w:pPr>
      <w:r>
        <w:rPr>
          <w:rFonts w:ascii="Calibri" w:hAnsi="Calibri" w:cs="Arial"/>
          <w:sz w:val="24"/>
          <w:szCs w:val="24"/>
        </w:rPr>
        <w:t xml:space="preserve">4.5. The approved recipe and lab dip are stored in the colour archive (colour card EMS.QA.KRT.07.01.) with date, customer, order and fabric.</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FASTNESS AND RSL REQUIREMENTS</w:t>
      </w:r>
    </w:p>
    <w:p>
      <w:pPr>
        <w:pStyle w:val="ListeParagraf"/>
        <w:spacing w:after="80"/>
        <w:ind w:left="709" w:right="0"/>
        <w:jc w:val="both"/>
      </w:pPr>
      <w:r>
        <w:rPr>
          <w:rFonts w:ascii="Calibri" w:hAnsi="Calibri" w:cs="Arial"/>
          <w:sz w:val="24"/>
          <w:szCs w:val="24"/>
        </w:rPr>
        <w:t xml:space="preserve">5.1. Where required by the customer, fastness tests (washing, rubbing, perspiration, light) are made on lab dips or first batches before bulk approval.</w:t>
      </w:r>
    </w:p>
    <w:p>
      <w:pPr>
        <w:pStyle w:val="ListeParagraf"/>
        <w:spacing w:after="80"/>
        <w:ind w:left="709" w:right="0"/>
        <w:jc w:val="both"/>
      </w:pPr>
      <w:r>
        <w:rPr>
          <w:rFonts w:ascii="Calibri" w:hAnsi="Calibri" w:cs="Arial"/>
          <w:sz w:val="24"/>
          <w:szCs w:val="24"/>
        </w:rPr>
        <w:t xml:space="preserve">5.2. Chemical compliance of the recipe is confirmed against the chemical inventory and customer RSL (EMS.MG.PRO.13.02.) and the ZDHC MRSL conformance procedure (EMS.KM.PRO.20.01.).</w:t>
      </w:r>
    </w:p>
    <w:p>
      <w:pPr>
        <w:pStyle w:val="ListeParagraf"/>
        <w:spacing w:after="80"/>
        <w:ind w:left="709" w:right="0"/>
        <w:jc w:val="both"/>
      </w:pPr>
      <w:r>
        <w:rPr>
          <w:rFonts w:ascii="Calibri" w:hAnsi="Calibri" w:cs="Arial"/>
          <w:sz w:val="24"/>
          <w:szCs w:val="24"/>
        </w:rPr>
        <w:t xml:space="preserve">5.3. A recipe containing a dye or auxiliary that is not approved is not released; the Chemical Manager proposes an approved alternative.</w:t>
      </w:r>
    </w:p>
    <w:p>
      <w:pPr>
        <w:pStyle w:val="ListeParagraf"/>
        <w:spacing w:after="80"/>
        <w:ind w:left="709" w:right="0"/>
        <w:jc w:val="both"/>
      </w:pPr>
      <w:r>
        <w:rPr>
          <w:rFonts w:ascii="Calibri" w:hAnsi="Calibri" w:cs="Arial"/>
          <w:sz w:val="24"/>
          <w:szCs w:val="24"/>
        </w:rPr>
        <w:t xml:space="preserve">5.4. Fastness acceptance values are defined in the customer specification or company policy (for example ISO 105 test methods).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The Laboratory Manager monitors the following indicators every month and reports them in the management review:</w:t>
      </w:r>
    </w:p>
    <w:p>
      <w:pPr>
        <w:pStyle w:val="ListeParagraf"/>
        <w:numPr>
          <w:ilvl w:val="0"/>
          <w:numId w:val="1"/>
        </w:numPr>
        <w:spacing w:after="60"/>
        <w:jc w:val="both"/>
      </w:pPr>
      <w:r>
        <w:rPr>
          <w:rFonts w:ascii="Calibri" w:hAnsi="Calibri" w:cs="Arial"/>
          <w:sz w:val="24"/>
          <w:szCs w:val="24"/>
        </w:rPr>
        <w:t xml:space="preserve">Lab dip first submission approval rate (%),</w:t>
      </w:r>
    </w:p>
    <w:p>
      <w:pPr>
        <w:pStyle w:val="ListeParagraf"/>
        <w:numPr>
          <w:ilvl w:val="0"/>
          <w:numId w:val="1"/>
        </w:numPr>
        <w:spacing w:after="60"/>
        <w:jc w:val="both"/>
      </w:pPr>
      <w:r>
        <w:rPr>
          <w:rFonts w:ascii="Calibri" w:hAnsi="Calibri" w:cs="Arial"/>
          <w:sz w:val="24"/>
          <w:szCs w:val="24"/>
        </w:rPr>
        <w:t xml:space="preserve">Average lab dip lead time (days),</w:t>
      </w:r>
    </w:p>
    <w:p>
      <w:pPr>
        <w:pStyle w:val="ListeParagraf"/>
        <w:numPr>
          <w:ilvl w:val="0"/>
          <w:numId w:val="1"/>
        </w:numPr>
        <w:spacing w:after="60"/>
        <w:jc w:val="both"/>
      </w:pPr>
      <w:r>
        <w:rPr>
          <w:rFonts w:ascii="Calibri" w:hAnsi="Calibri" w:cs="Arial"/>
          <w:sz w:val="24"/>
          <w:szCs w:val="24"/>
        </w:rPr>
        <w:t xml:space="preserve">Lab-to-bulk right-first-time rate (%).</w:t>
      </w:r>
    </w:p>
    <w:p>
      <w:pPr>
        <w:pStyle w:val="ListeParagraf"/>
        <w:spacing w:after="80"/>
        <w:ind w:left="709" w:right="0"/>
        <w:jc w:val="both"/>
      </w:pPr>
      <w:r>
        <w:rPr>
          <w:rFonts w:ascii="Calibri" w:hAnsi="Calibri" w:cs="Arial"/>
          <w:sz w:val="24"/>
          <w:szCs w:val="24"/>
        </w:rPr>
        <w:t xml:space="preserve">6.2. The number of customer shade complaints and recipe corrections is also reviewed.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NONCONFORMITY AND CORRECTIVE ACTION</w:t>
      </w:r>
    </w:p>
    <w:p>
      <w:pPr>
        <w:pStyle w:val="ListeParagraf"/>
        <w:spacing w:after="80"/>
        <w:ind w:left="709" w:right="0"/>
        <w:jc w:val="both"/>
      </w:pPr>
      <w:r>
        <w:rPr>
          <w:rFonts w:ascii="Calibri" w:hAnsi="Calibri" w:cs="Arial"/>
          <w:sz w:val="24"/>
          <w:szCs w:val="24"/>
        </w:rPr>
        <w:t xml:space="preserve">7.1. A nonconformity is opened when: bulk is started without approval, the lab-to-bulk result is outside the ΔE tolerance, a non-approved chemical is used in a recipe, a recipe is changed without a record, an instrument is used without valid calibration or a customer shade complaint is received.</w:t>
      </w:r>
    </w:p>
    <w:p>
      <w:pPr>
        <w:pStyle w:val="ListeParagraf"/>
        <w:spacing w:after="80"/>
        <w:ind w:left="709" w:right="0"/>
        <w:jc w:val="both"/>
      </w:pPr>
      <w:r>
        <w:rPr>
          <w:rFonts w:ascii="Calibri" w:hAnsi="Calibri" w:cs="Arial"/>
          <w:sz w:val="24"/>
          <w:szCs w:val="24"/>
        </w:rPr>
        <w:t xml:space="preserve">7.2. Immediate action: the batch or order is held, labelled and handled as nonconforming product (EMS.KS.PRO.22.02.); the Laboratory Manager and Dyehouse Manager are informed on the same day.</w:t>
      </w:r>
    </w:p>
    <w:p>
      <w:pPr>
        <w:pStyle w:val="ListeParagraf"/>
        <w:spacing w:after="80"/>
        <w:ind w:left="709" w:right="0"/>
        <w:jc w:val="both"/>
      </w:pPr>
      <w:r>
        <w:rPr>
          <w:rFonts w:ascii="Calibri" w:hAnsi="Calibri" w:cs="Arial"/>
          <w:sz w:val="24"/>
          <w:szCs w:val="24"/>
        </w:rPr>
        <w:t xml:space="preserve">7.3. Root cause analysis (for example substrate, pretreatment, dye lot, process difference, instrument error) is started within 24 hours; the corrective action is recorded with a responsible person and due date (EMS.KS.PRO.22.03.).</w:t>
      </w:r>
    </w:p>
    <w:p>
      <w:pPr>
        <w:pStyle w:val="ListeParagraf"/>
        <w:spacing w:after="80"/>
        <w:ind w:left="709" w:right="0"/>
        <w:jc w:val="both"/>
      </w:pPr>
      <w:r>
        <w:rPr>
          <w:rFonts w:ascii="Calibri" w:hAnsi="Calibri" w:cs="Arial"/>
          <w:sz w:val="24"/>
          <w:szCs w:val="24"/>
        </w:rPr>
        <w:t xml:space="preserve">7.4. The action is closed after the effectiveness is verified in the next batches and evidence is attached.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EMS.BY.PRO.06.01 Colour Approval Procedure and EMS.BY.TL.06.05 Lab-dip preparation and approval instruction (QMS)</w:t>
      </w:r>
    </w:p>
    <w:p>
      <w:pPr>
        <w:pStyle w:val="ListeParagraf"/>
        <w:numPr>
          <w:ilvl w:val="0"/>
          <w:numId w:val="1"/>
        </w:numPr>
        <w:spacing w:after="60"/>
        <w:jc w:val="both"/>
      </w:pPr>
      <w:r>
        <w:rPr>
          <w:rFonts w:ascii="Calibri" w:hAnsi="Calibri" w:cs="Arial"/>
          <w:sz w:val="24"/>
          <w:szCs w:val="24"/>
        </w:rPr>
        <w:t xml:space="preserve">Colour Request Forms and Colour Standards</w:t>
      </w:r>
    </w:p>
    <w:p>
      <w:pPr>
        <w:pStyle w:val="ListeParagraf"/>
        <w:numPr>
          <w:ilvl w:val="0"/>
          <w:numId w:val="1"/>
        </w:numPr>
        <w:spacing w:after="60"/>
        <w:jc w:val="both"/>
      </w:pPr>
      <w:r>
        <w:rPr>
          <w:rFonts w:ascii="Calibri" w:hAnsi="Calibri" w:cs="Arial"/>
          <w:sz w:val="24"/>
          <w:szCs w:val="24"/>
        </w:rPr>
        <w:t xml:space="preserve">EMS.QA.FRM.07.16. Laboratory Colour Work Form</w:t>
      </w:r>
    </w:p>
    <w:p>
      <w:pPr>
        <w:pStyle w:val="ListeParagraf"/>
        <w:numPr>
          <w:ilvl w:val="0"/>
          <w:numId w:val="1"/>
        </w:numPr>
        <w:spacing w:after="60"/>
        <w:jc w:val="both"/>
      </w:pPr>
      <w:r>
        <w:rPr>
          <w:rFonts w:ascii="Calibri" w:hAnsi="Calibri" w:cs="Arial"/>
          <w:sz w:val="24"/>
          <w:szCs w:val="24"/>
        </w:rPr>
        <w:t xml:space="preserve">Lab Dip Cards and Customer Approval Records</w:t>
      </w:r>
    </w:p>
    <w:p>
      <w:pPr>
        <w:pStyle w:val="ListeParagraf"/>
        <w:numPr>
          <w:ilvl w:val="0"/>
          <w:numId w:val="1"/>
        </w:numPr>
        <w:spacing w:after="60"/>
        <w:jc w:val="both"/>
      </w:pPr>
      <w:r>
        <w:rPr>
          <w:rFonts w:ascii="Calibri" w:hAnsi="Calibri" w:cs="Arial"/>
          <w:sz w:val="24"/>
          <w:szCs w:val="24"/>
        </w:rPr>
        <w:t xml:space="preserve">Spectrophotometer Measurement Records</w:t>
      </w:r>
    </w:p>
    <w:p>
      <w:pPr>
        <w:pStyle w:val="ListeParagraf"/>
        <w:numPr>
          <w:ilvl w:val="0"/>
          <w:numId w:val="1"/>
        </w:numPr>
        <w:spacing w:after="60"/>
        <w:jc w:val="both"/>
      </w:pPr>
      <w:r>
        <w:rPr>
          <w:rFonts w:ascii="Calibri" w:hAnsi="Calibri" w:cs="Arial"/>
          <w:sz w:val="24"/>
          <w:szCs w:val="24"/>
        </w:rPr>
        <w:t xml:space="preserve">Recipe Archive and Bulk Recipe Cards</w:t>
      </w:r>
    </w:p>
    <w:p>
      <w:pPr>
        <w:pStyle w:val="ListeParagraf"/>
        <w:numPr>
          <w:ilvl w:val="0"/>
          <w:numId w:val="1"/>
        </w:numPr>
        <w:spacing w:after="60"/>
        <w:jc w:val="both"/>
      </w:pPr>
      <w:r>
        <w:rPr>
          <w:rFonts w:ascii="Calibri" w:hAnsi="Calibri" w:cs="Arial"/>
          <w:sz w:val="24"/>
          <w:szCs w:val="24"/>
        </w:rPr>
        <w:t xml:space="preserve">EMS.QA.KRT.07.01. Colour Archive Card</w:t>
      </w:r>
    </w:p>
    <w:p>
      <w:pPr>
        <w:pStyle w:val="ListeParagraf"/>
        <w:numPr>
          <w:ilvl w:val="0"/>
          <w:numId w:val="1"/>
        </w:numPr>
        <w:spacing w:after="60"/>
        <w:jc w:val="both"/>
      </w:pPr>
      <w:r>
        <w:rPr>
          <w:rFonts w:ascii="Calibri" w:hAnsi="Calibri" w:cs="Arial"/>
          <w:sz w:val="24"/>
          <w:szCs w:val="24"/>
        </w:rPr>
        <w:t xml:space="preserve">EMS.QA.FRM.07.17. Jigger Working Test Report</w:t>
      </w:r>
    </w:p>
    <w:p>
      <w:pPr>
        <w:pStyle w:val="ListeParagraf"/>
        <w:numPr>
          <w:ilvl w:val="0"/>
          <w:numId w:val="1"/>
        </w:numPr>
        <w:spacing w:after="60"/>
        <w:jc w:val="both"/>
      </w:pPr>
      <w:r>
        <w:rPr>
          <w:rFonts w:ascii="Calibri" w:hAnsi="Calibri" w:cs="Arial"/>
          <w:sz w:val="24"/>
          <w:szCs w:val="24"/>
        </w:rPr>
        <w:t xml:space="preserve">EMS.BY.PRO.06.02. Dyeing and Finishing Process Control Procedure</w:t>
      </w:r>
    </w:p>
    <w:p>
      <w:pPr>
        <w:pStyle w:val="ListeParagraf"/>
        <w:numPr>
          <w:ilvl w:val="0"/>
          <w:numId w:val="1"/>
        </w:numPr>
        <w:spacing w:after="60"/>
        <w:jc w:val="both"/>
      </w:pPr>
      <w:r>
        <w:rPr>
          <w:rFonts w:ascii="Calibri" w:hAnsi="Calibri" w:cs="Arial"/>
          <w:sz w:val="24"/>
          <w:szCs w:val="24"/>
        </w:rPr>
        <w:t xml:space="preserve">EMS.BY.TL.06.03. Shade Control with Light Box Instruction</w:t>
      </w:r>
    </w:p>
    <w:p>
      <w:pPr>
        <w:pStyle w:val="ListeParagraf"/>
        <w:numPr>
          <w:ilvl w:val="0"/>
          <w:numId w:val="1"/>
        </w:numPr>
        <w:spacing w:after="60"/>
        <w:jc w:val="both"/>
      </w:pPr>
      <w:r>
        <w:rPr>
          <w:rFonts w:ascii="Calibri" w:hAnsi="Calibri" w:cs="Arial"/>
          <w:sz w:val="24"/>
          <w:szCs w:val="24"/>
        </w:rPr>
        <w:t xml:space="preserve">EMS.LB.PRO.09.02. Calibration of Measuring Equipment Procedure</w:t>
      </w:r>
    </w:p>
    <w:p>
      <w:pPr>
        <w:pStyle w:val="ListeParagraf"/>
        <w:numPr>
          <w:ilvl w:val="0"/>
          <w:numId w:val="1"/>
        </w:numPr>
        <w:spacing w:after="60"/>
        <w:jc w:val="both"/>
      </w:pPr>
      <w:r>
        <w:rPr>
          <w:rFonts w:ascii="Calibri" w:hAnsi="Calibri" w:cs="Arial"/>
          <w:sz w:val="24"/>
          <w:szCs w:val="24"/>
        </w:rPr>
        <w:t xml:space="preserve">EMS.LB.TL.09.02. Colour Fastness Tests Instruction</w:t>
      </w:r>
    </w:p>
    <w:p>
      <w:pPr>
        <w:pStyle w:val="ListeParagraf"/>
        <w:numPr>
          <w:ilvl w:val="0"/>
          <w:numId w:val="1"/>
        </w:numPr>
        <w:spacing w:after="60"/>
        <w:jc w:val="both"/>
      </w:pPr>
      <w:r>
        <w:rPr>
          <w:rFonts w:ascii="Calibri" w:hAnsi="Calibri" w:cs="Arial"/>
          <w:sz w:val="24"/>
          <w:szCs w:val="24"/>
        </w:rPr>
        <w:t xml:space="preserve">EMS.MG.PRO.13.02. RSL Compliance and Product Testing Procedure</w:t>
      </w:r>
    </w:p>
    <w:p>
      <w:pPr>
        <w:pStyle w:val="ListeParagraf"/>
        <w:numPr>
          <w:ilvl w:val="0"/>
          <w:numId w:val="1"/>
        </w:numPr>
        <w:spacing w:after="60"/>
        <w:jc w:val="both"/>
      </w:pPr>
      <w:r>
        <w:rPr>
          <w:rFonts w:ascii="Calibri" w:hAnsi="Calibri" w:cs="Arial"/>
          <w:sz w:val="24"/>
          <w:szCs w:val="24"/>
        </w:rPr>
        <w:t xml:space="preserve">EMS.KM.PRO.20.01. Chemical Inventory and ZDHC MRSL Conformance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EMS.SO.PRO.23.04. SOP – Shade Band and Dye Lot Control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FOLLOW-UP</w:t>
      </w:r>
    </w:p>
    <w:p>
      <w:pPr>
        <w:pStyle w:val="ListeParagraf"/>
        <w:spacing w:after="80"/>
        <w:ind w:left="709" w:right="0"/>
        <w:jc w:val="both"/>
      </w:pPr>
      <w:r>
        <w:rPr>
          <w:rFonts w:ascii="Calibri" w:hAnsi="Calibri" w:cs="Arial"/>
          <w:sz w:val="24"/>
          <w:szCs w:val="24"/>
        </w:rPr>
        <w:t xml:space="preserve">This procedure is reviewed every year by the Laboratory Manager. Customer comments, lab-to-bulk results and shade complaints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استلام معايير الألوان، وكيفية إعداد عينات الصبغة المعملية ووصفات الصباغة واعتمادها، وكيفية نقل الوصفات المعتمدة إلى الإنتاج الكمي في شركة إيروغلو للتريكو (EMS)، وذلك لتحقيق درجة لون العميل من المرة الأولى. كما يحدد نقاط التحكم في الاعتماد، وأرشيف الألوان، وفحص الامتثال الكيميائي، والتعامل مع النتائج المرفوضة أو الخارجة عن درجة اللون.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طلبات الألوان للأقمشة والملابس المصبوغة في EMS، بدءًا من استلام معيار اللون من العميل حتى اعتماد عينة الصبغة المعملية وإصدار الوصفة الكمية وأرشفة الوصفات ومراجعة نتيجة أول دفعة كمية.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التسويق:</w:t>
      </w:r>
      <w:r>
        <w:rPr>
          <w:rFonts w:ascii="Calibri" w:hAnsi="Calibri" w:cs="Arial"/>
          <w:rtl/>
          <w:sz w:val="24"/>
          <w:szCs w:val="24"/>
        </w:rPr>
        <w:t xml:space="preserve"> يرسل معيار لون العميل ونوع القماش ومتطلبات الاختبار إلى المختبر، ويرسل عينات الصبغة المعملية إلى العميل؛ ويسجل قرار 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المختبر:</w:t>
      </w:r>
      <w:r>
        <w:rPr>
          <w:rFonts w:ascii="Calibri" w:hAnsi="Calibri" w:cs="Arial"/>
          <w:rtl/>
          <w:sz w:val="24"/>
          <w:szCs w:val="24"/>
        </w:rPr>
        <w:t xml:space="preserve"> يخطط لمطابقة الألوان، ويعتمد عينات الصبغة المعملية قبل إرسالها، ويصدر الوصفات الكمية، ويحتفظ بأرشيف الألوان.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فنيو المختبر (خبراء الألوان):</w:t>
      </w:r>
      <w:r>
        <w:rPr>
          <w:rFonts w:ascii="Calibri" w:hAnsi="Calibri" w:cs="Arial"/>
          <w:rtl/>
          <w:sz w:val="24"/>
          <w:szCs w:val="24"/>
        </w:rPr>
        <w:t xml:space="preserve"> يعدون عينات الصبغة المعملية، ويقيسون اللون بجهاز المطياف الضوئي، ويسجلون الوصفات.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المصبغة:</w:t>
      </w:r>
      <w:r>
        <w:rPr>
          <w:rFonts w:ascii="Calibri" w:hAnsi="Calibri" w:cs="Arial"/>
          <w:rtl/>
          <w:sz w:val="24"/>
          <w:szCs w:val="24"/>
        </w:rPr>
        <w:t xml:space="preserve"> يراجع إمكانية تطبيق الوصفة في الإنتاج الكمي ويؤكد نتيجة أول دفعة كمية.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الكيماويات:</w:t>
      </w:r>
      <w:r>
        <w:rPr>
          <w:rFonts w:ascii="Calibri" w:hAnsi="Calibri" w:cs="Arial"/>
          <w:rtl/>
          <w:sz w:val="24"/>
          <w:szCs w:val="24"/>
        </w:rPr>
        <w:t xml:space="preserve"> يؤكد أن جميع الأصباغ والمواد المساعدة في الوصفة معتمدة ومطابقة لقائمة ZDHC MRSL.</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يتحقق من معيار درجة اللون ونتائج اختبارات الثبات والمقارنة بين المختبر والإنتاج الكمي؛ ويقرر بشأن النتائج غير المطابقة.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الصيانة / المعايرة:</w:t>
      </w:r>
      <w:r>
        <w:rPr>
          <w:rFonts w:ascii="Calibri" w:hAnsi="Calibri" w:cs="Arial"/>
          <w:rtl/>
          <w:sz w:val="24"/>
          <w:szCs w:val="24"/>
        </w:rPr>
        <w:t xml:space="preserve"> يضمن معايرة وصيانة المطياف الضوئي وكابينة الإضاءة والموازين وآلات المختبر.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معيار اللون:</w:t>
      </w:r>
      <w:r>
        <w:rPr>
          <w:rFonts w:ascii="Calibri" w:hAnsi="Calibri" w:cs="Arial"/>
          <w:rtl/>
          <w:sz w:val="24"/>
          <w:szCs w:val="24"/>
        </w:rPr>
        <w:t xml:space="preserve"> العينة المادية أو المرجع الرقمي (مثل البيانات الطيفية) الذي يقدمه العميل لمطابقة اللون.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دلتا E (ΔE):</w:t>
      </w:r>
      <w:r>
        <w:rPr>
          <w:rFonts w:ascii="Calibri" w:hAnsi="Calibri" w:cs="Arial"/>
          <w:rtl/>
          <w:sz w:val="24"/>
          <w:szCs w:val="24"/>
        </w:rPr>
        <w:t xml:space="preserve"> الفرق المقاس في اللون بين العينة والمعيار، ويُعبر عنه بمعادلة متفق عليها مثل CMC (2:1)؛ وتُحدد الحدود المسموحة في مواصفات 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الوصفة الكمية:</w:t>
      </w:r>
      <w:r>
        <w:rPr>
          <w:rFonts w:ascii="Calibri" w:hAnsi="Calibri" w:cs="Arial"/>
          <w:rtl/>
          <w:sz w:val="24"/>
          <w:szCs w:val="24"/>
        </w:rPr>
        <w:t xml:space="preserve"> الوصفة المعتمدة المعدلة لآلات الإنتاج، وتشمل الأصباغ والمواد المساعدة ونسبة الحمام ودرجة الحرارة والزمن.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مصدر الضوء:</w:t>
      </w:r>
      <w:r>
        <w:rPr>
          <w:rFonts w:ascii="Calibri" w:hAnsi="Calibri" w:cs="Arial"/>
          <w:rtl/>
          <w:sz w:val="24"/>
          <w:szCs w:val="24"/>
        </w:rPr>
        <w:t xml:space="preserve"> الإضاءة القياسية (مثل D65 وTL84 وA) التي تُقيّم تحتها درجة اللون في كابينة الإضاءة.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الميتاميرية:</w:t>
      </w:r>
      <w:r>
        <w:rPr>
          <w:rFonts w:ascii="Calibri" w:hAnsi="Calibri" w:cs="Arial"/>
          <w:rtl/>
          <w:sz w:val="24"/>
          <w:szCs w:val="24"/>
        </w:rPr>
        <w:t xml:space="preserve"> تغير مطابقة اللون عند تغير مصدر الضوء.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عينة الصبغة المعملية:</w:t>
      </w:r>
      <w:r>
        <w:rPr>
          <w:rFonts w:ascii="Calibri" w:hAnsi="Calibri" w:cs="Arial"/>
          <w:rtl/>
          <w:sz w:val="24"/>
          <w:szCs w:val="24"/>
        </w:rPr>
        <w:t xml:space="preserve"> عينة قماش صغيرة مصبوغة في المختبر لمطابقة معيار اللون.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أرشيف الألوان:</w:t>
      </w:r>
      <w:r>
        <w:rPr>
          <w:rFonts w:ascii="Calibri" w:hAnsi="Calibri" w:cs="Arial"/>
          <w:rtl/>
          <w:sz w:val="24"/>
          <w:szCs w:val="24"/>
        </w:rPr>
        <w:t xml:space="preserve"> سجل عينات الصبغة المعملية المعتمدة والوصفات والمعايير (بطاقة الألوان) المحفوظة للطلبيات المتكررة.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استلام طلب اللون</w:t>
      </w:r>
    </w:p>
    <w:p>
      <w:pPr>
        <w:pStyle w:val="ListeParagraf"/>
        <w:bidi/>
        <w:spacing w:after="80"/>
        <w:ind w:left="0" w:right="709"/>
        <w:jc w:val="both"/>
      </w:pPr>
      <w:r>
        <w:rPr>
          <w:rFonts w:ascii="Calibri" w:hAnsi="Calibri" w:cs="Arial"/>
          <w:rtl/>
          <w:sz w:val="24"/>
          <w:szCs w:val="24"/>
        </w:rPr>
        <w:t xml:space="preserve">1.1. يفتح قسم التسويق طلب لون يتضمن معيار اللون ونوع القماش وتركيبه ومصادر الضوء المطلوبة وحدود ΔE ومتطلبات الثبات وRSL والموعد المستهدف.</w:t>
      </w:r>
    </w:p>
    <w:p>
      <w:pPr>
        <w:pStyle w:val="ListeParagraf"/>
        <w:bidi/>
        <w:spacing w:after="80"/>
        <w:ind w:left="0" w:right="709"/>
        <w:jc w:val="both"/>
      </w:pPr>
      <w:r>
        <w:rPr>
          <w:rFonts w:ascii="Calibri" w:hAnsi="Calibri" w:cs="Arial"/>
          <w:rtl/>
          <w:sz w:val="24"/>
          <w:szCs w:val="24"/>
        </w:rPr>
        <w:t xml:space="preserve">1.2. يسجل المختبر الطلب ويعطيه رقمًا مرجعيًا للون.</w:t>
      </w:r>
    </w:p>
    <w:p>
      <w:pPr>
        <w:pStyle w:val="ListeParagraf"/>
        <w:bidi/>
        <w:spacing w:after="80"/>
        <w:ind w:left="0" w:right="709"/>
        <w:jc w:val="both"/>
      </w:pPr>
      <w:r>
        <w:rPr>
          <w:rFonts w:ascii="Calibri" w:hAnsi="Calibri" w:cs="Arial"/>
          <w:rtl/>
          <w:sz w:val="24"/>
          <w:szCs w:val="24"/>
        </w:rPr>
        <w:t xml:space="preserve">1.3. يجب أن يكون القماش المستخدم في عينات الصبغة المعملية من نفس نوع القماش الكمي ونفس معالجته المسبقة.</w:t>
      </w:r>
    </w:p>
    <w:p>
      <w:pPr>
        <w:pStyle w:val="ListeParagraf"/>
        <w:bidi/>
        <w:spacing w:after="80"/>
        <w:ind w:left="0" w:right="709"/>
        <w:jc w:val="both"/>
      </w:pPr>
      <w:r>
        <w:rPr>
          <w:rFonts w:ascii="Calibri" w:hAnsi="Calibri" w:cs="Arial"/>
          <w:rtl/>
          <w:sz w:val="24"/>
          <w:szCs w:val="24"/>
        </w:rPr>
        <w:t xml:space="preserve">1.4. يتحقق المختبر من أن المعيار قابل للقياس وكافٍ في الحجم؛ وإذا لم يكن كذلك يطلب التسويق من العميل معيارًا جديدًا قبل بدء العمل.</w:t>
      </w:r>
    </w:p>
    <w:p>
      <w:pPr>
        <w:pStyle w:val="ListeParagraf"/>
        <w:bidi/>
        <w:spacing w:after="80"/>
        <w:ind w:left="0" w:right="709"/>
        <w:jc w:val="both"/>
      </w:pPr>
      <w:r>
        <w:rPr>
          <w:rFonts w:ascii="Calibri" w:hAnsi="Calibri" w:cs="Arial"/>
          <w:rtl/>
          <w:sz w:val="24"/>
          <w:szCs w:val="24"/>
        </w:rPr>
        <w:t xml:space="preserve">1.5. تُخطط الطلبات حسب الأولوية والموعد المستهدف؛ ويُبلغ التسويق بالتأخيرات في اليوم نفسه.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إعداد عينة الصبغة المعملية</w:t>
      </w:r>
    </w:p>
    <w:p>
      <w:pPr>
        <w:pStyle w:val="ListeParagraf"/>
        <w:bidi/>
        <w:spacing w:after="80"/>
        <w:ind w:left="0" w:right="709"/>
        <w:jc w:val="both"/>
      </w:pPr>
      <w:r>
        <w:rPr>
          <w:rFonts w:ascii="Calibri" w:hAnsi="Calibri" w:cs="Arial"/>
          <w:rtl/>
          <w:sz w:val="24"/>
          <w:szCs w:val="24"/>
        </w:rPr>
        <w:t xml:space="preserve">2.1. يعد خبير الألوان الوصفة الأولى باستخدام برنامج مطابقة الألوان وأرشيف الوصفات، مع اختيار الأصباغ والمواد المساعدة المعتمدة فقط.</w:t>
      </w:r>
    </w:p>
    <w:p>
      <w:pPr>
        <w:pStyle w:val="ListeParagraf"/>
        <w:bidi/>
        <w:spacing w:after="80"/>
        <w:ind w:left="0" w:right="709"/>
        <w:jc w:val="both"/>
      </w:pPr>
      <w:r>
        <w:rPr>
          <w:rFonts w:ascii="Calibri" w:hAnsi="Calibri" w:cs="Arial"/>
          <w:rtl/>
          <w:sz w:val="24"/>
          <w:szCs w:val="24"/>
        </w:rPr>
        <w:t xml:space="preserve">2.2. تُصبغ العينات المعملية في آلات المختبر في ظروف مشابهة للإنتاج الكمي (نسبة الحمام ودرجة الحرارة والزمن).</w:t>
      </w:r>
    </w:p>
    <w:p>
      <w:pPr>
        <w:pStyle w:val="ListeParagraf"/>
        <w:bidi/>
        <w:spacing w:after="80"/>
        <w:ind w:left="0" w:right="709"/>
        <w:jc w:val="both"/>
      </w:pPr>
      <w:r>
        <w:rPr>
          <w:rFonts w:ascii="Calibri" w:hAnsi="Calibri" w:cs="Arial"/>
          <w:rtl/>
          <w:sz w:val="24"/>
          <w:szCs w:val="24"/>
        </w:rPr>
        <w:t xml:space="preserve">2.3. تُقاس كل عينة بجهاز المطياف الضوئي وتُفحص بصريًا في كابينة الإضاءة تحت مصادر الضوء المطلوبة، بما في ذلك فحص الميتاميرية (تغير اللون حسب الإضاءة).</w:t>
      </w:r>
    </w:p>
    <w:p>
      <w:pPr>
        <w:pStyle w:val="ListeParagraf"/>
        <w:bidi/>
        <w:spacing w:after="80"/>
        <w:ind w:left="0" w:right="709"/>
        <w:jc w:val="both"/>
      </w:pPr>
      <w:r>
        <w:rPr>
          <w:rFonts w:ascii="Calibri" w:hAnsi="Calibri" w:cs="Arial"/>
          <w:rtl/>
          <w:sz w:val="24"/>
          <w:szCs w:val="24"/>
        </w:rPr>
        <w:t xml:space="preserve">2.4. عادةً تُعد خياران أو ثلاثة خيارات (A وB وC) ضمن الحدود المسموحة، ويفحصها مدير المختبر قبل الإرسال.</w:t>
      </w:r>
    </w:p>
    <w:p>
      <w:pPr>
        <w:pStyle w:val="ListeParagraf"/>
        <w:bidi/>
        <w:spacing w:after="80"/>
        <w:ind w:left="0" w:right="709"/>
        <w:jc w:val="both"/>
      </w:pPr>
      <w:r>
        <w:rPr>
          <w:rFonts w:ascii="Calibri" w:hAnsi="Calibri" w:cs="Arial"/>
          <w:rtl/>
          <w:sz w:val="24"/>
          <w:szCs w:val="24"/>
        </w:rPr>
        <w:t xml:space="preserve">2.5. تُقاس أوزان الأصباغ والمواد الكيميائية بموازين معايرة وتُسجل؛ ويُسجل رقم تشغيلة الأصباغ المستخدمة.</w:t>
      </w:r>
    </w:p>
    <w:p>
      <w:pPr>
        <w:pStyle w:val="ListeParagraf"/>
        <w:bidi/>
        <w:spacing w:after="80"/>
        <w:ind w:left="0" w:right="709"/>
        <w:jc w:val="both"/>
      </w:pPr>
      <w:r>
        <w:rPr>
          <w:rFonts w:ascii="Calibri" w:hAnsi="Calibri" w:cs="Arial"/>
          <w:rtl/>
          <w:sz w:val="24"/>
          <w:szCs w:val="24"/>
        </w:rPr>
        <w:t xml:space="preserve">2.6. يُتحقق من المطياف الضوئي ومصابيح كابينة الإضاءة والموازين وتُعاير في الفترات المخططة (EMS.LB.PRO.09.02.)؛ ولا تُقبل القياسات من جهاز بدون معايرة سارية.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الإرسال إلى العميل والاعتماد</w:t>
      </w:r>
    </w:p>
    <w:p>
      <w:pPr>
        <w:pStyle w:val="ListeParagraf"/>
        <w:bidi/>
        <w:spacing w:after="80"/>
        <w:ind w:left="0" w:right="709"/>
        <w:jc w:val="both"/>
      </w:pPr>
      <w:r>
        <w:rPr>
          <w:rFonts w:ascii="Calibri" w:hAnsi="Calibri" w:cs="Arial"/>
          <w:rtl/>
          <w:sz w:val="24"/>
          <w:szCs w:val="24"/>
        </w:rPr>
        <w:t xml:space="preserve">3.1. تُثبت الخيارات المعتمدة على بطاقة عينة صبغة معملية توضح الرقم المرجعي للون ورقم الوصفة ومصدر الضوء وقيم ΔE، وتُرسل إلى العميل عن طريق قسم التسويق.</w:t>
      </w:r>
    </w:p>
    <w:p>
      <w:pPr>
        <w:pStyle w:val="ListeParagraf"/>
        <w:bidi/>
        <w:spacing w:after="80"/>
        <w:ind w:left="0" w:right="709"/>
        <w:jc w:val="both"/>
      </w:pPr>
      <w:r>
        <w:rPr>
          <w:rFonts w:ascii="Calibri" w:hAnsi="Calibri" w:cs="Arial"/>
          <w:rtl/>
          <w:sz w:val="24"/>
          <w:szCs w:val="24"/>
        </w:rPr>
        <w:t xml:space="preserve">3.2. يُسجل قرار العميل (معتمد، أو مرفوض مع ملاحظات، أو إعادة إرسال). وتُصحح العينات المرفوضة وفق الملاحظات ويُعاد إرسالها.</w:t>
      </w:r>
    </w:p>
    <w:p>
      <w:pPr>
        <w:pStyle w:val="ListeParagraf"/>
        <w:bidi/>
        <w:spacing w:after="80"/>
        <w:ind w:left="0" w:right="709"/>
        <w:jc w:val="both"/>
      </w:pPr>
      <w:r>
        <w:rPr>
          <w:rFonts w:ascii="Calibri" w:hAnsi="Calibri" w:cs="Arial"/>
          <w:rtl/>
          <w:sz w:val="24"/>
          <w:szCs w:val="24"/>
        </w:rPr>
        <w:t xml:space="preserve">3.3. تُحفظ بطاقة العينة المعتمدة كمعيار لدرجة اللون في الإنتاج الكمي ولضمان ثبات درجة اللون.</w:t>
      </w:r>
    </w:p>
    <w:p>
      <w:pPr>
        <w:pStyle w:val="ListeParagraf"/>
        <w:bidi/>
        <w:spacing w:after="80"/>
        <w:ind w:left="0" w:right="709"/>
        <w:jc w:val="both"/>
      </w:pPr>
      <w:r>
        <w:rPr>
          <w:rFonts w:ascii="Calibri" w:hAnsi="Calibri" w:cs="Arial"/>
          <w:rtl/>
          <w:sz w:val="24"/>
          <w:szCs w:val="24"/>
        </w:rPr>
        <w:t xml:space="preserve">3.4. لا يبدأ الإنتاج الكمي دون اعتماد مسجل من العميل أو تفويض كتابي من التسويق.</w:t>
      </w:r>
    </w:p>
    <w:p>
      <w:pPr>
        <w:pStyle w:val="ListeParagraf"/>
        <w:bidi/>
        <w:spacing w:after="80"/>
        <w:ind w:left="0" w:right="709"/>
        <w:jc w:val="both"/>
      </w:pPr>
      <w:r>
        <w:rPr>
          <w:rFonts w:ascii="Calibri" w:hAnsi="Calibri" w:cs="Arial"/>
          <w:rtl/>
          <w:sz w:val="24"/>
          <w:szCs w:val="24"/>
        </w:rPr>
        <w:t xml:space="preserve">3.5. يُسجل عدد مرات الإرسال لكل لون؛ ويراجع مدير المختبر اللون الذي يتجاوز عدد الإرسالات المخطط.</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النقل إلى الإنتاج الكمي</w:t>
      </w:r>
    </w:p>
    <w:p>
      <w:pPr>
        <w:pStyle w:val="ListeParagraf"/>
        <w:bidi/>
        <w:spacing w:after="80"/>
        <w:ind w:left="0" w:right="709"/>
        <w:jc w:val="both"/>
      </w:pPr>
      <w:r>
        <w:rPr>
          <w:rFonts w:ascii="Calibri" w:hAnsi="Calibri" w:cs="Arial"/>
          <w:rtl/>
          <w:sz w:val="24"/>
          <w:szCs w:val="24"/>
        </w:rPr>
        <w:t xml:space="preserve">4.1. يحول المختبر الوصفة المعتمدة إلى وصفة كمية وفق نوع الآلة ونسبة الحمام ووزن القماش.</w:t>
      </w:r>
    </w:p>
    <w:p>
      <w:pPr>
        <w:pStyle w:val="ListeParagraf"/>
        <w:bidi/>
        <w:spacing w:after="80"/>
        <w:ind w:left="0" w:right="709"/>
        <w:jc w:val="both"/>
      </w:pPr>
      <w:r>
        <w:rPr>
          <w:rFonts w:ascii="Calibri" w:hAnsi="Calibri" w:cs="Arial"/>
          <w:rtl/>
          <w:sz w:val="24"/>
          <w:szCs w:val="24"/>
        </w:rPr>
        <w:t xml:space="preserve">4.2. بالنسبة للألوان الجديدة أو أنواع الأقمشة الجديدة، تُصبغ دفعة تجريبية أو دفعة أولى وتُفحص مقارنة بالعينة المعتمدة قبل تشغيل الطلبية بالكامل.</w:t>
      </w:r>
    </w:p>
    <w:p>
      <w:pPr>
        <w:pStyle w:val="ListeParagraf"/>
        <w:bidi/>
        <w:spacing w:after="80"/>
        <w:ind w:left="0" w:right="709"/>
        <w:jc w:val="both"/>
      </w:pPr>
      <w:r>
        <w:rPr>
          <w:rFonts w:ascii="Calibri" w:hAnsi="Calibri" w:cs="Arial"/>
          <w:rtl/>
          <w:sz w:val="24"/>
          <w:szCs w:val="24"/>
        </w:rPr>
        <w:t xml:space="preserve">4.3. لا يُجري تعديلات الوصفات الكمية إلا المختبر، وتُسجل مع سبب التعديل.</w:t>
      </w:r>
    </w:p>
    <w:p>
      <w:pPr>
        <w:pStyle w:val="ListeParagraf"/>
        <w:bidi/>
        <w:spacing w:after="80"/>
        <w:ind w:left="0" w:right="709"/>
        <w:jc w:val="both"/>
      </w:pPr>
      <w:r>
        <w:rPr>
          <w:rFonts w:ascii="Calibri" w:hAnsi="Calibri" w:cs="Arial"/>
          <w:rtl/>
          <w:sz w:val="24"/>
          <w:szCs w:val="24"/>
        </w:rPr>
        <w:t xml:space="preserve">4.4. يراجع مدير المصبغة الوصفة الكمية ونتيجة الدفعة الأولى؛ وتُسجل النتيجة في وثائق العملية (EMS.BY.PRO.06.02.).</w:t>
      </w:r>
    </w:p>
    <w:p>
      <w:pPr>
        <w:pStyle w:val="ListeParagraf"/>
        <w:bidi/>
        <w:spacing w:after="80"/>
        <w:ind w:left="0" w:right="709"/>
        <w:jc w:val="both"/>
      </w:pPr>
      <w:r>
        <w:rPr>
          <w:rFonts w:ascii="Calibri" w:hAnsi="Calibri" w:cs="Arial"/>
          <w:rtl/>
          <w:sz w:val="24"/>
          <w:szCs w:val="24"/>
        </w:rPr>
        <w:t xml:space="preserve">4.5. تُحفظ الوصفة والعينة المعتمدتان في أرشيف الألوان (بطاقة الألوان EMS.QA.KRT.07.01.) مع التاريخ والعميل والطلبية والقماش.</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متطلبات الثبات وRSL</w:t>
      </w:r>
    </w:p>
    <w:p>
      <w:pPr>
        <w:pStyle w:val="ListeParagraf"/>
        <w:bidi/>
        <w:spacing w:after="80"/>
        <w:ind w:left="0" w:right="709"/>
        <w:jc w:val="both"/>
      </w:pPr>
      <w:r>
        <w:rPr>
          <w:rFonts w:ascii="Calibri" w:hAnsi="Calibri" w:cs="Arial"/>
          <w:rtl/>
          <w:sz w:val="24"/>
          <w:szCs w:val="24"/>
        </w:rPr>
        <w:t xml:space="preserve">5.1. عندما يطلب العميل ذلك، تُجرى اختبارات الثبات (للغسيل والاحتكاك والعرق والضوء) على العينات المعملية أو الدفعات الأولى قبل الاعتماد الكمي.</w:t>
      </w:r>
    </w:p>
    <w:p>
      <w:pPr>
        <w:pStyle w:val="ListeParagraf"/>
        <w:bidi/>
        <w:spacing w:after="80"/>
        <w:ind w:left="0" w:right="709"/>
        <w:jc w:val="both"/>
      </w:pPr>
      <w:r>
        <w:rPr>
          <w:rFonts w:ascii="Calibri" w:hAnsi="Calibri" w:cs="Arial"/>
          <w:rtl/>
          <w:sz w:val="24"/>
          <w:szCs w:val="24"/>
        </w:rPr>
        <w:t xml:space="preserve">5.2. يُؤكد الامتثال الكيميائي للوصفة مقارنة بقائمة جرد المواد الكيميائية وقائمة RSL الخاصة بالعميل (EMS.MG.PRO.13.02.) وإجراء الامتثال لقائمة ZDHC MRSL (EMS.KM.PRO.20.01.).</w:t>
      </w:r>
    </w:p>
    <w:p>
      <w:pPr>
        <w:pStyle w:val="ListeParagraf"/>
        <w:bidi/>
        <w:spacing w:after="80"/>
        <w:ind w:left="0" w:right="709"/>
        <w:jc w:val="both"/>
      </w:pPr>
      <w:r>
        <w:rPr>
          <w:rFonts w:ascii="Calibri" w:hAnsi="Calibri" w:cs="Arial"/>
          <w:rtl/>
          <w:sz w:val="24"/>
          <w:szCs w:val="24"/>
        </w:rPr>
        <w:t xml:space="preserve">5.3. لا تُصدر الوصفة التي تحتوي على صبغة أو مادة مساعدة غير معتمدة؛ ويقترح مدير الكيماويات بديلًا معتمدًا.</w:t>
      </w:r>
    </w:p>
    <w:p>
      <w:pPr>
        <w:pStyle w:val="ListeParagraf"/>
        <w:bidi/>
        <w:spacing w:after="80"/>
        <w:ind w:left="0" w:right="709"/>
        <w:jc w:val="both"/>
      </w:pPr>
      <w:r>
        <w:rPr>
          <w:rFonts w:ascii="Calibri" w:hAnsi="Calibri" w:cs="Arial"/>
          <w:rtl/>
          <w:sz w:val="24"/>
          <w:szCs w:val="24"/>
        </w:rPr>
        <w:t xml:space="preserve">5.4. تُحدد قيم قبول الثبات في مواصفات العميل أو سياسة الشركة (مثل طرق الاختبار ISO 105).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يتابع مدير المختبر المؤشرات التالية شهريًا ويعرضها في مراجعة الإدارة:</w:t>
      </w:r>
    </w:p>
    <w:p>
      <w:pPr>
        <w:pStyle w:val="ListeParagraf"/>
        <w:numPr>
          <w:ilvl w:val="0"/>
          <w:numId w:val="1"/>
        </w:numPr>
        <w:bidi/>
        <w:spacing w:after="60"/>
        <w:jc w:val="both"/>
      </w:pPr>
      <w:r>
        <w:rPr>
          <w:rFonts w:ascii="Calibri" w:hAnsi="Calibri" w:cs="Arial"/>
          <w:rtl/>
          <w:sz w:val="24"/>
          <w:szCs w:val="24"/>
        </w:rPr>
        <w:t xml:space="preserve">نسبة اعتماد عينات الصبغة المعملية من الإرسال الأول (%)،</w:t>
      </w:r>
    </w:p>
    <w:p>
      <w:pPr>
        <w:pStyle w:val="ListeParagraf"/>
        <w:numPr>
          <w:ilvl w:val="0"/>
          <w:numId w:val="1"/>
        </w:numPr>
        <w:bidi/>
        <w:spacing w:after="60"/>
        <w:jc w:val="both"/>
      </w:pPr>
      <w:r>
        <w:rPr>
          <w:rFonts w:ascii="Calibri" w:hAnsi="Calibri" w:cs="Arial"/>
          <w:rtl/>
          <w:sz w:val="24"/>
          <w:szCs w:val="24"/>
        </w:rPr>
        <w:t xml:space="preserve">متوسط مدة إعداد عينة الصبغة المعملية (بالأيام)،</w:t>
      </w:r>
    </w:p>
    <w:p>
      <w:pPr>
        <w:pStyle w:val="ListeParagraf"/>
        <w:numPr>
          <w:ilvl w:val="0"/>
          <w:numId w:val="1"/>
        </w:numPr>
        <w:bidi/>
        <w:spacing w:after="60"/>
        <w:jc w:val="both"/>
      </w:pPr>
      <w:r>
        <w:rPr>
          <w:rFonts w:ascii="Calibri" w:hAnsi="Calibri" w:cs="Arial"/>
          <w:rtl/>
          <w:sz w:val="24"/>
          <w:szCs w:val="24"/>
        </w:rPr>
        <w:t xml:space="preserve">نسبة الصحيح من المرة الأولى عند الانتقال من المختبر إلى الإنتاج الكمي (%).</w:t>
      </w:r>
    </w:p>
    <w:p>
      <w:pPr>
        <w:pStyle w:val="ListeParagraf"/>
        <w:bidi/>
        <w:spacing w:after="80"/>
        <w:ind w:left="0" w:right="709"/>
        <w:jc w:val="both"/>
      </w:pPr>
      <w:r>
        <w:rPr>
          <w:rFonts w:ascii="Calibri" w:hAnsi="Calibri" w:cs="Arial"/>
          <w:rtl/>
          <w:sz w:val="24"/>
          <w:szCs w:val="24"/>
        </w:rPr>
        <w:t xml:space="preserve">6.2. كما يُراجع عدد شكاوى العملاء بشأن درجة اللون وعدد تصحيحات الوصفات.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عدم المطابقة والإجراء التصحيحي</w:t>
      </w:r>
    </w:p>
    <w:p>
      <w:pPr>
        <w:pStyle w:val="ListeParagraf"/>
        <w:bidi/>
        <w:spacing w:after="80"/>
        <w:ind w:left="0" w:right="709"/>
        <w:jc w:val="both"/>
      </w:pPr>
      <w:r>
        <w:rPr>
          <w:rFonts w:ascii="Calibri" w:hAnsi="Calibri" w:cs="Arial"/>
          <w:rtl/>
          <w:sz w:val="24"/>
          <w:szCs w:val="24"/>
        </w:rPr>
        <w:t xml:space="preserve">7.1. تُفتح حالة عدم مطابقة عند: بدء الإنتاج الكمي دون اعتماد، أو خروج نتيجة المختبر إلى الإنتاج الكمي عن حد ΔE، أو استخدام مادة كيميائية غير معتمدة في وصفة، أو تعديل وصفة دون تسجيل، أو استخدام جهاز بدون معايرة سارية، أو ورود شكوى من العميل بشأن درجة اللون.</w:t>
      </w:r>
    </w:p>
    <w:p>
      <w:pPr>
        <w:pStyle w:val="ListeParagraf"/>
        <w:bidi/>
        <w:spacing w:after="80"/>
        <w:ind w:left="0" w:right="709"/>
        <w:jc w:val="both"/>
      </w:pPr>
      <w:r>
        <w:rPr>
          <w:rFonts w:ascii="Calibri" w:hAnsi="Calibri" w:cs="Arial"/>
          <w:rtl/>
          <w:sz w:val="24"/>
          <w:szCs w:val="24"/>
        </w:rPr>
        <w:t xml:space="preserve">7.2. الإجراء الفوري: تُحتجز الدفعة أو الطلبية وتُوسم وتُعامل كمنتج غير مطابق (EMS.KS.PRO.22.02.)؛ ويُبلغ مدير المختبر ومدير المصبغة في اليوم نفسه.</w:t>
      </w:r>
    </w:p>
    <w:p>
      <w:pPr>
        <w:pStyle w:val="ListeParagraf"/>
        <w:bidi/>
        <w:spacing w:after="80"/>
        <w:ind w:left="0" w:right="709"/>
        <w:jc w:val="both"/>
      </w:pPr>
      <w:r>
        <w:rPr>
          <w:rFonts w:ascii="Calibri" w:hAnsi="Calibri" w:cs="Arial"/>
          <w:rtl/>
          <w:sz w:val="24"/>
          <w:szCs w:val="24"/>
        </w:rPr>
        <w:t xml:space="preserve">7.3. يبدأ تحليل السبب الجذري (مثل الركيزة والمعالجة المسبقة وتشغيلة الصبغة واختلاف العملية وخطأ الجهاز) خلال 24 ساعة؛ ويُسجل الإجراء التصحيحي مع المسؤول والموعد النهائي (EMS.KS.PRO.22.03.).</w:t>
      </w:r>
    </w:p>
    <w:p>
      <w:pPr>
        <w:pStyle w:val="ListeParagraf"/>
        <w:bidi/>
        <w:spacing w:after="80"/>
        <w:ind w:left="0" w:right="709"/>
        <w:jc w:val="both"/>
      </w:pPr>
      <w:r>
        <w:rPr>
          <w:rFonts w:ascii="Calibri" w:hAnsi="Calibri" w:cs="Arial"/>
          <w:rtl/>
          <w:sz w:val="24"/>
          <w:szCs w:val="24"/>
        </w:rPr>
        <w:t xml:space="preserve">7.4. يُغلق الإجراء بعد التحقق من فعاليته في الدفعات التالية وإرفاق الدليل.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EMS.BY.PRO.06.01 إجراء اعتماد الألوان وEMS.BY.TL.06.05 تعليمات إعداد عينة الصبغة المعملية واعتمادها (نظام الجودة QMS)</w:t>
      </w:r>
    </w:p>
    <w:p>
      <w:pPr>
        <w:pStyle w:val="ListeParagraf"/>
        <w:numPr>
          <w:ilvl w:val="0"/>
          <w:numId w:val="1"/>
        </w:numPr>
        <w:bidi/>
        <w:spacing w:after="60"/>
        <w:jc w:val="both"/>
      </w:pPr>
      <w:r>
        <w:rPr>
          <w:rFonts w:ascii="Calibri" w:hAnsi="Calibri" w:cs="Arial"/>
          <w:rtl/>
          <w:sz w:val="24"/>
          <w:szCs w:val="24"/>
        </w:rPr>
        <w:t xml:space="preserve">نماذج طلبات الألوان ومعايير الألوان</w:t>
      </w:r>
    </w:p>
    <w:p>
      <w:pPr>
        <w:pStyle w:val="ListeParagraf"/>
        <w:numPr>
          <w:ilvl w:val="0"/>
          <w:numId w:val="1"/>
        </w:numPr>
        <w:bidi/>
        <w:spacing w:after="60"/>
        <w:jc w:val="both"/>
      </w:pPr>
      <w:r>
        <w:rPr>
          <w:rFonts w:ascii="Calibri" w:hAnsi="Calibri" w:cs="Arial"/>
          <w:rtl/>
          <w:sz w:val="24"/>
          <w:szCs w:val="24"/>
        </w:rPr>
        <w:t xml:space="preserve">EMS.QA.FRM.07.16. نموذج عمل الألوان في المختبر</w:t>
      </w:r>
    </w:p>
    <w:p>
      <w:pPr>
        <w:pStyle w:val="ListeParagraf"/>
        <w:numPr>
          <w:ilvl w:val="0"/>
          <w:numId w:val="1"/>
        </w:numPr>
        <w:bidi/>
        <w:spacing w:after="60"/>
        <w:jc w:val="both"/>
      </w:pPr>
      <w:r>
        <w:rPr>
          <w:rFonts w:ascii="Calibri" w:hAnsi="Calibri" w:cs="Arial"/>
          <w:rtl/>
          <w:sz w:val="24"/>
          <w:szCs w:val="24"/>
        </w:rPr>
        <w:t xml:space="preserve">بطاقات عينات الصبغة المعملية وسجلات اعتماد العملاء</w:t>
      </w:r>
    </w:p>
    <w:p>
      <w:pPr>
        <w:pStyle w:val="ListeParagraf"/>
        <w:numPr>
          <w:ilvl w:val="0"/>
          <w:numId w:val="1"/>
        </w:numPr>
        <w:bidi/>
        <w:spacing w:after="60"/>
        <w:jc w:val="both"/>
      </w:pPr>
      <w:r>
        <w:rPr>
          <w:rFonts w:ascii="Calibri" w:hAnsi="Calibri" w:cs="Arial"/>
          <w:rtl/>
          <w:sz w:val="24"/>
          <w:szCs w:val="24"/>
        </w:rPr>
        <w:t xml:space="preserve">سجلات قياس المطياف الضوئي</w:t>
      </w:r>
    </w:p>
    <w:p>
      <w:pPr>
        <w:pStyle w:val="ListeParagraf"/>
        <w:numPr>
          <w:ilvl w:val="0"/>
          <w:numId w:val="1"/>
        </w:numPr>
        <w:bidi/>
        <w:spacing w:after="60"/>
        <w:jc w:val="both"/>
      </w:pPr>
      <w:r>
        <w:rPr>
          <w:rFonts w:ascii="Calibri" w:hAnsi="Calibri" w:cs="Arial"/>
          <w:rtl/>
          <w:sz w:val="24"/>
          <w:szCs w:val="24"/>
        </w:rPr>
        <w:t xml:space="preserve">أرشيف الوصفات وبطاقات الوصفات الكمية</w:t>
      </w:r>
    </w:p>
    <w:p>
      <w:pPr>
        <w:pStyle w:val="ListeParagraf"/>
        <w:numPr>
          <w:ilvl w:val="0"/>
          <w:numId w:val="1"/>
        </w:numPr>
        <w:bidi/>
        <w:spacing w:after="60"/>
        <w:jc w:val="both"/>
      </w:pPr>
      <w:r>
        <w:rPr>
          <w:rFonts w:ascii="Calibri" w:hAnsi="Calibri" w:cs="Arial"/>
          <w:rtl/>
          <w:sz w:val="24"/>
          <w:szCs w:val="24"/>
        </w:rPr>
        <w:t xml:space="preserve">EMS.QA.KRT.07.01. بطاقة أرشيف الألوان</w:t>
      </w:r>
    </w:p>
    <w:p>
      <w:pPr>
        <w:pStyle w:val="ListeParagraf"/>
        <w:numPr>
          <w:ilvl w:val="0"/>
          <w:numId w:val="1"/>
        </w:numPr>
        <w:bidi/>
        <w:spacing w:after="60"/>
        <w:jc w:val="both"/>
      </w:pPr>
      <w:r>
        <w:rPr>
          <w:rFonts w:ascii="Calibri" w:hAnsi="Calibri" w:cs="Arial"/>
          <w:rtl/>
          <w:sz w:val="24"/>
          <w:szCs w:val="24"/>
        </w:rPr>
        <w:t xml:space="preserve">EMS.QA.FRM.07.17. تقرير اختبار تشغيل الجيجر</w:t>
      </w:r>
    </w:p>
    <w:p>
      <w:pPr>
        <w:pStyle w:val="ListeParagraf"/>
        <w:numPr>
          <w:ilvl w:val="0"/>
          <w:numId w:val="1"/>
        </w:numPr>
        <w:bidi/>
        <w:spacing w:after="60"/>
        <w:jc w:val="both"/>
      </w:pPr>
      <w:r>
        <w:rPr>
          <w:rFonts w:ascii="Calibri" w:hAnsi="Calibri" w:cs="Arial"/>
          <w:rtl/>
          <w:sz w:val="24"/>
          <w:szCs w:val="24"/>
        </w:rPr>
        <w:t xml:space="preserve">EMS.BY.PRO.06.02. إجراء التحكم في عمليات الصباغة والتجهيز</w:t>
      </w:r>
    </w:p>
    <w:p>
      <w:pPr>
        <w:pStyle w:val="ListeParagraf"/>
        <w:numPr>
          <w:ilvl w:val="0"/>
          <w:numId w:val="1"/>
        </w:numPr>
        <w:bidi/>
        <w:spacing w:after="60"/>
        <w:jc w:val="both"/>
      </w:pPr>
      <w:r>
        <w:rPr>
          <w:rFonts w:ascii="Calibri" w:hAnsi="Calibri" w:cs="Arial"/>
          <w:rtl/>
          <w:sz w:val="24"/>
          <w:szCs w:val="24"/>
        </w:rPr>
        <w:t xml:space="preserve">EMS.BY.TL.06.03. تعليمات التحكم في درجة اللون بكابينة الإضاءة</w:t>
      </w:r>
    </w:p>
    <w:p>
      <w:pPr>
        <w:pStyle w:val="ListeParagraf"/>
        <w:numPr>
          <w:ilvl w:val="0"/>
          <w:numId w:val="1"/>
        </w:numPr>
        <w:bidi/>
        <w:spacing w:after="60"/>
        <w:jc w:val="both"/>
      </w:pPr>
      <w:r>
        <w:rPr>
          <w:rFonts w:ascii="Calibri" w:hAnsi="Calibri" w:cs="Arial"/>
          <w:rtl/>
          <w:sz w:val="24"/>
          <w:szCs w:val="24"/>
        </w:rPr>
        <w:t xml:space="preserve">EMS.LB.PRO.09.02. إجراء معايرة أجهزة القياس</w:t>
      </w:r>
    </w:p>
    <w:p>
      <w:pPr>
        <w:pStyle w:val="ListeParagraf"/>
        <w:numPr>
          <w:ilvl w:val="0"/>
          <w:numId w:val="1"/>
        </w:numPr>
        <w:bidi/>
        <w:spacing w:after="60"/>
        <w:jc w:val="both"/>
      </w:pPr>
      <w:r>
        <w:rPr>
          <w:rFonts w:ascii="Calibri" w:hAnsi="Calibri" w:cs="Arial"/>
          <w:rtl/>
          <w:sz w:val="24"/>
          <w:szCs w:val="24"/>
        </w:rPr>
        <w:t xml:space="preserve">EMS.LB.TL.09.02. تعليمات اختبارات ثبات الألوان</w:t>
      </w:r>
    </w:p>
    <w:p>
      <w:pPr>
        <w:pStyle w:val="ListeParagraf"/>
        <w:numPr>
          <w:ilvl w:val="0"/>
          <w:numId w:val="1"/>
        </w:numPr>
        <w:bidi/>
        <w:spacing w:after="60"/>
        <w:jc w:val="both"/>
      </w:pPr>
      <w:r>
        <w:rPr>
          <w:rFonts w:ascii="Calibri" w:hAnsi="Calibri" w:cs="Arial"/>
          <w:rtl/>
          <w:sz w:val="24"/>
          <w:szCs w:val="24"/>
        </w:rPr>
        <w:t xml:space="preserve">EMS.MG.PRO.13.02. إجراء الامتثال لقائمة RSL واختبار المنتجات</w:t>
      </w:r>
    </w:p>
    <w:p>
      <w:pPr>
        <w:pStyle w:val="ListeParagraf"/>
        <w:numPr>
          <w:ilvl w:val="0"/>
          <w:numId w:val="1"/>
        </w:numPr>
        <w:bidi/>
        <w:spacing w:after="60"/>
        <w:jc w:val="both"/>
      </w:pPr>
      <w:r>
        <w:rPr>
          <w:rFonts w:ascii="Calibri" w:hAnsi="Calibri" w:cs="Arial"/>
          <w:rtl/>
          <w:sz w:val="24"/>
          <w:szCs w:val="24"/>
        </w:rPr>
        <w:t xml:space="preserve">EMS.KM.PRO.20.01. إجراء جرد المواد الكيميائية والامتثال لقائمة ZDHC MRSL</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EMS.SO.PRO.23.04. إجراء التشغيل – التحكم في نطاق درجات اللون وتشغيلات الصباغة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المختبر. وتُقيّم ملاحظات العملاء ونتائج الانتقال من المختبر إلى الإنتاج وشكاوى درجات اللون، ويُعدل الإجراء عند الحاجة.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Boyahane Müdürü  ..........................</w:t>
      </w:r>
    </w:p>
    <w:p>
      <w:pPr>
        <w:pStyle w:val="ListeParagraf"/>
        <w:spacing w:before="40" w:after="0"/>
        <w:ind w:left="709"/>
      </w:pPr>
      <w:r>
        <w:rPr>
          <w:rFonts w:ascii="Calibri" w:hAnsi="Calibri" w:cs="Calibri"/>
          <w:b/>
          <w:bCs/>
          <w:sz w:val="20"/>
          <w:szCs w:val="20"/>
        </w:rPr>
        <w:t xml:space="preserve">Kontrol: Boyahane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RECIPE PREPARATION AND LAB DIP APPROVAL PROCEDURE</w:t>
          </w:r>
        </w:p>
        <w:p>
          <w:pPr>
            <w:pStyle w:val="GvdeMetni2"/>
            <w:bidi/>
            <w:spacing w:line="276" w:lineRule="auto"/>
            <w:jc w:val="center"/>
          </w:pPr>
          <w:r>
            <w:rPr>
              <w:rFonts w:asciiTheme="minorHAnsi" w:hAnsiTheme="minorHAnsi" w:cs="Arial"/>
              <w:b/>
              <w:bCs/>
              <w:color w:val="000000" w:themeColor="text1"/>
              <w:sz w:val="22"/>
              <w:szCs w:val="22"/>
              <w:rtl/>
            </w:rPr>
            <w:t>إجراء إعداد الوصفات واعتماد عينات الصبغة المعملية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EMS.BY.PRO.06.01.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EMS.BY.PRO.06.01. RECIPE PREPARATION AND LAB DIP APPROVAL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