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the quality of screen / digital printing, heat transfers and embroidery is checked at EMS, so that printed and embroidered panels conform to the approved strike-off and customer requirements before they go to sewing.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all printed and embroidered panels and garments produced in the EMS printing and embroidery sections and by approved subcontractors.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Print / Embroidery QC:</w:t>
      </w:r>
      <w:r>
        <w:rPr>
          <w:rFonts w:ascii="Calibri" w:hAnsi="Calibri" w:cs="Arial"/>
          <w:sz w:val="24"/>
          <w:szCs w:val="24"/>
        </w:rPr>
        <w:t xml:space="preserve"> Checks the first panels and bulk panels and records the results.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Print / Embroidery Supervisor:</w:t>
      </w:r>
      <w:r>
        <w:rPr>
          <w:rFonts w:ascii="Calibri" w:hAnsi="Calibri" w:cs="Arial"/>
          <w:sz w:val="24"/>
          <w:szCs w:val="24"/>
        </w:rPr>
        <w:t xml:space="preserve"> Corrects the set-up and ensures that rejected panels are separated.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Approves the first panels and decides on nonconforming panels.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Have the approved strike-off / embroidery sample, artwork with position and size, colour standard and test requirements ready.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Confirm that the inks, pastes and threads used are on the approved chemical list and conform to ZDHC MRSL and customer RSL.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Check and approve the first panels of each colour and size according to EMS.KS.PRO.22.04. before bulk starts.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CHECK POINTS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Position and size: measure the placement from the reference points (e.g. from the HPS or centre front) against the artwork.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Colour: compare the print and thread colours with the approved standard in the light box.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Print quality: check for smudges, incomplete print, misregistration, cracking, ghosting, pinholes and correct hand feel.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Curing: perform a stretch test and a rub check on the first panels of each shift; send samples to the laboratory for wash and crocking tests as required (EMS.LB.TL.09.02.).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Embroidery: check stitch density, thread breaks, loose threads, puckering, backing removal and trimming of jump stitches.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2.6. Check bulk panels at the frequency defined by the Quality Manager (e.g. 10 panels per 100) and record the results on the print / embroidery inspection sheet.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send panels to sewing without QC approval of the first panels.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use inks, pastes or chemicals that are not on the approved chemical list.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mix panels of different sizes, shades or bundles.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a defect is repeated, stop the machine or screen, inform the supervisor, correct the cause and check the last panels 100%.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4.2. Rejected panels are labelled and handled according to EMS.KS.PRO.22.02.; replacement panels are requested from cutting with the same shade.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Approved Strike-Off / Embroidery Sample and Print / Embroidery Inspection Sheet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EMS.ÜR.TL.05.04. Printing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EMS.ÜR.TL.05.05. Embroidery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EMS.LB.TL.09.02. Colour Fastness Tests Instruction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print and embroidery defect rates monthly, and reviews this instruction every year and revises it when necessary.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توضح هذه التعليمات كيفية فحص جودة الطباعة بالشاشة / الطباعة الرقمية والطباعة الحرارية والتطريز في EMS، بحيث تكون القطع المطبوعة والمطرزة مطابقة للعينة المعتمدة (Strike-off) ومتطلبات العميل قبل إرسالها إلى الخياطة.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هذه التعليمات على جميع القطع والملابس المطبوعة والمطرزة المنتجة في قسمي الطباعة والتطريز في EMS ولدى المقاولين من الباطن المعتمدين.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مراقب جودة الطباعة / التطريز:</w:t>
      </w:r>
      <w:r>
        <w:rPr>
          <w:rFonts w:ascii="Calibri" w:hAnsi="Calibri" w:cs="Arial"/>
          <w:rtl/>
          <w:sz w:val="24"/>
          <w:szCs w:val="24"/>
        </w:rPr>
        <w:t xml:space="preserve"> يفحص القطع الأولى والقطع الكمية ويسجل النتائج.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الطباعة / التطريز:</w:t>
      </w:r>
      <w:r>
        <w:rPr>
          <w:rFonts w:ascii="Calibri" w:hAnsi="Calibri" w:cs="Arial"/>
          <w:rtl/>
          <w:sz w:val="24"/>
          <w:szCs w:val="24"/>
        </w:rPr>
        <w:t xml:space="preserve"> يصحح الإعداد ويضمن فصل القطع المرفوضة.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يعتمد القطع الأولى ويتخذ القرار بشأن القطع غير المطابقة.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جهّز عينة الطباعة / التطريز المعتمدة، والتصميم مع المكان والمقاس، ومعيار اللون، ومتطلبات الاختبار.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تأكد من أن الأحبار والعجائن والخيوط المستخدمة مدرجة في قائمة الكيماويات المعتمدة ومطابقة لـ ZDHC MRSL وقائمة RSL للعميل.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افحص القطع الأولى لكل لون ومقاس واعتمدها وفق EMS.KS.PRO.22.04. قبل بدء الإنتاج الكمي.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نقاط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المكان والمقاس: قِس موضع الطباعة من النقاط المرجعية (مثل نقطة الكتف العليا HPS أو منتصف الأمام) مقارنة بالتصميم.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اللون: قارن ألوان الطباعة والخيوط بالمعيار المعتمد في صندوق الإضاءة.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جودة الطباعة: افحص التلطخ، والطباعة غير المكتملة، وعدم التطابق، والتشقق، والظلال، والثقوب الدقيقة، والملمس الصحيح.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التثبيت الحراري: أجرِ اختبار المط واختبار الاحتكاك على القطع الأولى في كل وردية، وأرسل عينات إلى المختبر لاختبارات الغسيل والاحتكاك حسب الحاجة (EMS.LB.TL.09.02.).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التطريز: افحص كثافة الغرز، وانقطاع الخيوط، والخيوط السائبة، والتجعد، وإزالة البطانة، وقص الغرز القافزة.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2.6. افحص القطع الكمية بالتكرار الذي يحدده مدير الجودة (مثل 10 قطع من كل 100) وسجل النتائج في ورقة فحص الطباعة / التطريز.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ترسل القطع إلى الخياطة دون اعتماد مراقبة الجودة للقطع الأولى.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تستخدم أحبارًا أو عجائن أو كيماويات غير مدرجة في قائمة الكيماويات المعتمدة.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تخلط قطعًا من مقاسات أو درجات ظل أو ربطات مختلفة.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تكرر العيب، أوقف الماكينة أو الشاشة، وأبلغ المشرف، وصحح السبب، وافحص القطع الأخيرة بنسبة 100%.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4.2. تُوسم القطع المرفوضة وتُعالج وفق EMS.KS.PRO.22.02.، وتُطلب قطع بديلة من القص بدرجة الظل نفسها.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عينة الطباعة / التطريز المعتمدة وورقة فحص الطباعة / التطريز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EMS.ÜR.TL.05.04. تعليمات الطباعة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EMS.ÜR.TL.05.05. تعليمات التطريز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EMS.LB.TL.09.02. تعليمات اختبارات ثبات اللون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معدلات عيوب الطباعة والتطريز شهريًا، ويراجع هذه التعليمات سنويًا ويعدلها عند الحاجة.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drawing>
                <wp:anchor distT="0" distB="0" distL="114300" distR="114300" simplePos="0" relativeHeight="251658240" behindDoc="0" locked="0" layoutInCell="1" allowOverlap="1" wp14:anchorId="168E1990" wp14:editId="230A926C">
                  <wp:simplePos x="0" y="0"/>
                  <wp:positionH relativeFrom="column">
                    <wp:posOffset>-143510</wp:posOffset>
                  </wp:positionH>
                  <wp:positionV relativeFrom="paragraph">
                    <wp:posOffset>153670</wp:posOffset>
                  </wp:positionV>
                  <wp:extent cx="1569720" cy="1046480"/>
                  <wp:effectExtent l="0" t="0" r="0" b="0"/>
                  <wp:wrapNone/>
                  <wp:docPr id="196847015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470152" name="Resim 196847015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046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BAYDOGAN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PRINT AND EMBROIDERY QUALITY CHECK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جودة الطباعة والتطريز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EMS.KS.TL.22.03.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EMS.KS.TL.22.03. PRINT AND EMBROIDERY QUALITY CHECK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