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dedicated area for drying, stenter and finishing of dyed organic fabric.</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Finishing and Drying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Drying and finishing are carried out in this area.</w:t>
      </w:r>
    </w:p>
    <w:p>
      <w:pPr>
        <w:pStyle w:val="ListeParagraf"/>
        <w:spacing w:after="80"/>
        <w:ind w:left="709" w:right="0"/>
        <w:jc w:val="both"/>
      </w:pPr>
      <w:r>
        <w:rPr>
          <w:rFonts w:ascii="Calibri" w:hAnsi="Calibri" w:cs="Arial"/>
          <w:sz w:val="24"/>
          <w:szCs w:val="24"/>
        </w:rPr>
        <w:t xml:space="preserve">1.2. Equipment (stenter, dryer) is dedicated or cleaned on changeover.</w:t>
      </w:r>
    </w:p>
    <w:p>
      <w:pPr>
        <w:pStyle w:val="ListeParagraf"/>
        <w:spacing w:after="80"/>
        <w:ind w:left="709" w:right="0"/>
        <w:jc w:val="both"/>
      </w:pPr>
      <w:r>
        <w:rPr>
          <w:rFonts w:ascii="Calibri" w:hAnsi="Calibri" w:cs="Arial"/>
          <w:sz w:val="24"/>
          <w:szCs w:val="24"/>
        </w:rPr>
        <w:t xml:space="preserve">1.3. Only GOTS-compliant softeners/finishes are used.</w:t>
      </w:r>
    </w:p>
    <w:p>
      <w:pPr>
        <w:pStyle w:val="ListeParagraf"/>
        <w:spacing w:after="80"/>
        <w:ind w:left="709" w:right="0"/>
        <w:jc w:val="both"/>
      </w:pPr>
      <w:r>
        <w:rPr>
          <w:rFonts w:ascii="Calibri" w:hAnsi="Calibri" w:cs="Arial"/>
          <w:sz w:val="24"/>
          <w:szCs w:val="24"/>
        </w:rPr>
        <w:t xml:space="preserve">1.4. The area is marked and traceable.</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Dyed fabric lot accepted</w:t>
      </w:r>
    </w:p>
    <w:p>
      <w:pPr>
        <w:pStyle w:val="ListeParagraf"/>
        <w:spacing w:after="80"/>
        <w:ind w:left="709" w:right="0"/>
        <w:jc w:val="both"/>
      </w:pPr>
      <w:r>
        <w:rPr>
          <w:rFonts w:ascii="Calibri" w:hAnsi="Calibri" w:cs="Arial"/>
          <w:sz w:val="24"/>
          <w:szCs w:val="24"/>
        </w:rPr>
        <w:t xml:space="preserve">2.2. Stenter/dryer parameters set</w:t>
      </w:r>
    </w:p>
    <w:p>
      <w:pPr>
        <w:pStyle w:val="ListeParagraf"/>
        <w:spacing w:after="80"/>
        <w:ind w:left="709" w:right="0"/>
        <w:jc w:val="both"/>
      </w:pPr>
      <w:r>
        <w:rPr>
          <w:rFonts w:ascii="Calibri" w:hAnsi="Calibri" w:cs="Arial"/>
          <w:sz w:val="24"/>
          <w:szCs w:val="24"/>
        </w:rPr>
        <w:t xml:space="preserve">2.3. Drying and finishing performed</w:t>
      </w:r>
    </w:p>
    <w:p>
      <w:pPr>
        <w:pStyle w:val="ListeParagraf"/>
        <w:spacing w:after="80"/>
        <w:ind w:left="709" w:right="0"/>
        <w:jc w:val="both"/>
      </w:pPr>
      <w:r>
        <w:rPr>
          <w:rFonts w:ascii="Calibri" w:hAnsi="Calibri" w:cs="Arial"/>
          <w:sz w:val="24"/>
          <w:szCs w:val="24"/>
        </w:rPr>
        <w:t xml:space="preserve">2.4. Dimension and weight checks</w:t>
      </w:r>
    </w:p>
    <w:p>
      <w:pPr>
        <w:pStyle w:val="ListeParagraf"/>
        <w:spacing w:after="80"/>
        <w:ind w:left="709" w:right="0"/>
        <w:jc w:val="both"/>
      </w:pPr>
      <w:r>
        <w:rPr>
          <w:rFonts w:ascii="Calibri" w:hAnsi="Calibri" w:cs="Arial"/>
          <w:sz w:val="24"/>
          <w:szCs w:val="24"/>
        </w:rPr>
        <w:t xml:space="preserve">2.5. Sent to quality control</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Is equipment dedicated / cleaned?</w:t>
      </w:r>
    </w:p>
    <w:p>
      <w:pPr>
        <w:pStyle w:val="ListeParagraf"/>
        <w:spacing w:after="80"/>
        <w:ind w:left="709" w:right="0"/>
        <w:jc w:val="both"/>
      </w:pPr>
      <w:r>
        <w:rPr>
          <w:rFonts w:ascii="Calibri" w:hAnsi="Calibri" w:cs="Arial"/>
          <w:sz w:val="24"/>
          <w:szCs w:val="24"/>
        </w:rPr>
        <w:t xml:space="preserve">3.2. Is the finish GOTS-compliant?</w:t>
      </w:r>
    </w:p>
    <w:p>
      <w:pPr>
        <w:pStyle w:val="ListeParagraf"/>
        <w:spacing w:after="80"/>
        <w:ind w:left="709" w:right="0"/>
        <w:jc w:val="both"/>
      </w:pPr>
      <w:r>
        <w:rPr>
          <w:rFonts w:ascii="Calibri" w:hAnsi="Calibri" w:cs="Arial"/>
          <w:sz w:val="24"/>
          <w:szCs w:val="24"/>
        </w:rPr>
        <w:t xml:space="preserve">3.3. Do lot tag and record match?</w:t>
      </w:r>
    </w:p>
    <w:p>
      <w:pPr>
        <w:pStyle w:val="ListeParagraf"/>
        <w:spacing w:after="80"/>
        <w:ind w:left="709" w:right="0"/>
        <w:jc w:val="both"/>
      </w:pPr>
      <w:r>
        <w:rPr>
          <w:rFonts w:ascii="Calibri" w:hAnsi="Calibri" w:cs="Arial"/>
          <w:sz w:val="24"/>
          <w:szCs w:val="24"/>
        </w:rPr>
        <w:t xml:space="preserve">3.4. Are parameter records kept?</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EMS.OR.FRM.21.13. Organic Finishing and Drying Record</w:t>
      </w:r>
    </w:p>
    <w:p>
      <w:pPr>
        <w:pStyle w:val="ListeParagraf"/>
        <w:numPr>
          <w:ilvl w:val="0"/>
          <w:numId w:val="1"/>
        </w:numPr>
        <w:spacing w:after="60"/>
        <w:jc w:val="both"/>
      </w:pPr>
      <w:r>
        <w:rPr>
          <w:rFonts w:ascii="Calibri" w:hAnsi="Calibri" w:cs="Arial"/>
          <w:sz w:val="24"/>
          <w:szCs w:val="24"/>
        </w:rPr>
        <w:t xml:space="preserve">EMS.OR.FRM.21.03. Changeover and Line Clearance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Dyehouse Supervisor checks the application of this instruction every day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المخصصة لتجفيف وتشطيب القماش العضوي المصبوغ.</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التجفيف والتجهيز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المصبغة: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عمليات التجفيف والتشطيب بتتعمل في المنطقة دي.</w:t>
      </w:r>
    </w:p>
    <w:p>
      <w:pPr>
        <w:pStyle w:val="ListeParagraf"/>
        <w:bidi/>
        <w:spacing w:after="80"/>
        <w:ind w:left="0" w:right="709"/>
        <w:jc w:val="both"/>
      </w:pPr>
      <w:r>
        <w:rPr>
          <w:rFonts w:ascii="Calibri" w:hAnsi="Calibri" w:cs="Arial"/>
          <w:rtl/>
          <w:sz w:val="24"/>
          <w:szCs w:val="24"/>
        </w:rPr>
        <w:t xml:space="preserve">1.2. المعدات بتتخصص للعضوي أو بتتنظف لما بنبدّل.</w:t>
      </w:r>
    </w:p>
    <w:p>
      <w:pPr>
        <w:pStyle w:val="ListeParagraf"/>
        <w:bidi/>
        <w:spacing w:after="80"/>
        <w:ind w:left="0" w:right="709"/>
        <w:jc w:val="both"/>
      </w:pPr>
      <w:r>
        <w:rPr>
          <w:rFonts w:ascii="Calibri" w:hAnsi="Calibri" w:cs="Arial"/>
          <w:rtl/>
          <w:sz w:val="24"/>
          <w:szCs w:val="24"/>
        </w:rPr>
        <w:t xml:space="preserve">1.3. بيتستخدم مواد التشطيب المتوافقة مع GOTS بس.</w:t>
      </w:r>
    </w:p>
    <w:p>
      <w:pPr>
        <w:pStyle w:val="ListeParagraf"/>
        <w:bidi/>
        <w:spacing w:after="80"/>
        <w:ind w:left="0" w:right="709"/>
        <w:jc w:val="both"/>
      </w:pPr>
      <w:r>
        <w:rPr>
          <w:rFonts w:ascii="Calibri" w:hAnsi="Calibri" w:cs="Arial"/>
          <w:rtl/>
          <w:sz w:val="24"/>
          <w:szCs w:val="24"/>
        </w:rPr>
        <w:t xml:space="preserve">1.4. المنطقة معلّمة وبتتتبع.</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استلام دفعة القماش المصبوغ</w:t>
      </w:r>
    </w:p>
    <w:p>
      <w:pPr>
        <w:pStyle w:val="ListeParagraf"/>
        <w:bidi/>
        <w:spacing w:after="80"/>
        <w:ind w:left="0" w:right="709"/>
        <w:jc w:val="both"/>
      </w:pPr>
      <w:r>
        <w:rPr>
          <w:rFonts w:ascii="Calibri" w:hAnsi="Calibri" w:cs="Arial"/>
          <w:rtl/>
          <w:sz w:val="24"/>
          <w:szCs w:val="24"/>
        </w:rPr>
        <w:t xml:space="preserve">2.2. ضبط معايير الرام/المجفف</w:t>
      </w:r>
    </w:p>
    <w:p>
      <w:pPr>
        <w:pStyle w:val="ListeParagraf"/>
        <w:bidi/>
        <w:spacing w:after="80"/>
        <w:ind w:left="0" w:right="709"/>
        <w:jc w:val="both"/>
      </w:pPr>
      <w:r>
        <w:rPr>
          <w:rFonts w:ascii="Calibri" w:hAnsi="Calibri" w:cs="Arial"/>
          <w:rtl/>
          <w:sz w:val="24"/>
          <w:szCs w:val="24"/>
        </w:rPr>
        <w:t xml:space="preserve">2.3. تنفيذ التجفيف والتشطيب</w:t>
      </w:r>
    </w:p>
    <w:p>
      <w:pPr>
        <w:pStyle w:val="ListeParagraf"/>
        <w:bidi/>
        <w:spacing w:after="80"/>
        <w:ind w:left="0" w:right="709"/>
        <w:jc w:val="both"/>
      </w:pPr>
      <w:r>
        <w:rPr>
          <w:rFonts w:ascii="Calibri" w:hAnsi="Calibri" w:cs="Arial"/>
          <w:rtl/>
          <w:sz w:val="24"/>
          <w:szCs w:val="24"/>
        </w:rPr>
        <w:t xml:space="preserve">2.4. فحص الأبعاد والوزن</w:t>
      </w:r>
    </w:p>
    <w:p>
      <w:pPr>
        <w:pStyle w:val="ListeParagraf"/>
        <w:bidi/>
        <w:spacing w:after="80"/>
        <w:ind w:left="0" w:right="709"/>
        <w:jc w:val="both"/>
      </w:pPr>
      <w:r>
        <w:rPr>
          <w:rFonts w:ascii="Calibri" w:hAnsi="Calibri" w:cs="Arial"/>
          <w:rtl/>
          <w:sz w:val="24"/>
          <w:szCs w:val="24"/>
        </w:rPr>
        <w:t xml:space="preserve">2.5. الإرسال لمراقبة الجودة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المعدات مخصصة / متنظفة؟</w:t>
      </w:r>
    </w:p>
    <w:p>
      <w:pPr>
        <w:pStyle w:val="ListeParagraf"/>
        <w:bidi/>
        <w:spacing w:after="80"/>
        <w:ind w:left="0" w:right="709"/>
        <w:jc w:val="both"/>
      </w:pPr>
      <w:r>
        <w:rPr>
          <w:rFonts w:ascii="Calibri" w:hAnsi="Calibri" w:cs="Arial"/>
          <w:rtl/>
          <w:sz w:val="24"/>
          <w:szCs w:val="24"/>
        </w:rPr>
        <w:t xml:space="preserve">3.2. مادة التشطيب متوافقة مع GOTS؟</w:t>
      </w:r>
    </w:p>
    <w:p>
      <w:pPr>
        <w:pStyle w:val="ListeParagraf"/>
        <w:bidi/>
        <w:spacing w:after="80"/>
        <w:ind w:left="0" w:right="709"/>
        <w:jc w:val="both"/>
      </w:pPr>
      <w:r>
        <w:rPr>
          <w:rFonts w:ascii="Calibri" w:hAnsi="Calibri" w:cs="Arial"/>
          <w:rtl/>
          <w:sz w:val="24"/>
          <w:szCs w:val="24"/>
        </w:rPr>
        <w:t xml:space="preserve">3.3. بطاقة الدفعة والسجل متطابقين؟</w:t>
      </w:r>
    </w:p>
    <w:p>
      <w:pPr>
        <w:pStyle w:val="ListeParagraf"/>
        <w:bidi/>
        <w:spacing w:after="80"/>
        <w:ind w:left="0" w:right="709"/>
        <w:jc w:val="both"/>
      </w:pPr>
      <w:r>
        <w:rPr>
          <w:rFonts w:ascii="Calibri" w:hAnsi="Calibri" w:cs="Arial"/>
          <w:rtl/>
          <w:sz w:val="24"/>
          <w:szCs w:val="24"/>
        </w:rPr>
        <w:t xml:space="preserve">3.4. سجلات المعايير بتتحفظ؟</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EMS.OR.FRM.21.13. سجل التجهيز والتجفيف العضوي</w:t>
      </w:r>
    </w:p>
    <w:p>
      <w:pPr>
        <w:pStyle w:val="ListeParagraf"/>
        <w:numPr>
          <w:ilvl w:val="0"/>
          <w:numId w:val="1"/>
        </w:numPr>
        <w:bidi/>
        <w:spacing w:after="60"/>
        <w:jc w:val="both"/>
      </w:pPr>
      <w:r>
        <w:rPr>
          <w:rFonts w:ascii="Calibri" w:hAnsi="Calibri" w:cs="Arial"/>
          <w:rtl/>
          <w:sz w:val="24"/>
          <w:szCs w:val="24"/>
        </w:rPr>
        <w:t xml:space="preserve">EMS.OR.FRM.21.03. سجل التبديل وتفريغ الخط</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المصبغة بيتحقق من تطبيق التعليمات دي كل يوم،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FINISHING AND DRYING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التجفيف والتجهيز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