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jc w:val="both"/>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The area where semi-finished goods wait after dyeing/finishing until cutting or sewing.</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Organic Semi-Finished Goods Area and to every person who works in it or brings material to it, for all orders produced under GOTS or OCS.</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Supervisor:</w:t>
      </w:r>
      <w:r>
        <w:rPr>
          <w:rFonts w:ascii="Calibri" w:hAnsi="Calibri" w:cs="Arial"/>
          <w:sz w:val="24"/>
          <w:szCs w:val="24"/>
        </w:rPr>
        <w:t xml:space="preserve"> Keeps the area marked and in order, makes sure this instruction and its records are applied, and reports every problem to the OCS Coordinator.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OCS Coordinator:</w:t>
      </w:r>
      <w:r>
        <w:rPr>
          <w:rFonts w:ascii="Calibri" w:hAnsi="Calibri" w:cs="Arial"/>
          <w:sz w:val="24"/>
          <w:szCs w:val="24"/>
        </w:rPr>
        <w:t xml:space="preserve"> Approves the set-up of the area, checks the records and follows up findings and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Checks the area during in-line and final inspections and in the internal audit.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Operators and Handlers:</w:t>
      </w:r>
      <w:r>
        <w:rPr>
          <w:rFonts w:ascii="Calibri" w:hAnsi="Calibri" w:cs="Arial"/>
          <w:sz w:val="24"/>
          <w:szCs w:val="24"/>
        </w:rPr>
        <w:t xml:space="preserve"> Work as instructed, keep organic and conventional material apart and report any doubt at once.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Organic area:</w:t>
      </w:r>
      <w:r>
        <w:rPr>
          <w:rFonts w:ascii="Calibri" w:hAnsi="Calibri" w:cs="Arial"/>
          <w:sz w:val="24"/>
          <w:szCs w:val="24"/>
        </w:rPr>
        <w:t xml:space="preserve"> A physically separated and clearly marked area used only for GOTS or OCS organic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Green label:</w:t>
      </w:r>
      <w:r>
        <w:rPr>
          <w:rFonts w:ascii="Calibri" w:hAnsi="Calibri" w:cs="Arial"/>
          <w:sz w:val="24"/>
          <w:szCs w:val="24"/>
        </w:rPr>
        <w:t xml:space="preserve"> The internal label with order, lot and TC number carried by organic material in this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Conventional material:</w:t>
      </w:r>
      <w:r>
        <w:rPr>
          <w:rFonts w:ascii="Calibri" w:hAnsi="Calibri" w:cs="Arial"/>
          <w:sz w:val="24"/>
          <w:szCs w:val="24"/>
        </w:rPr>
        <w:t xml:space="preserve"> Any material that is not certified organic. It never enters this area.</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INSTRUCTIONS</w:t>
      </w:r>
    </w:p>
    <w:p>
      <w:pPr>
        <w:pStyle w:val="ListeParagraf"/>
        <w:spacing w:before="120" w:after="60"/>
        <w:ind w:left="709" w:right="0"/>
        <w:jc w:val="both"/>
      </w:pPr>
      <w:r>
        <w:rPr>
          <w:rFonts w:ascii="Calibri" w:hAnsi="Calibri" w:cs="Arial"/>
          <w:b/>
          <w:bCs/>
          <w:sz w:val="24"/>
          <w:szCs w:val="24"/>
        </w:rPr>
        <w:t xml:space="preserve">1. AREA RULES</w:t>
      </w:r>
    </w:p>
    <w:p>
      <w:pPr>
        <w:pStyle w:val="ListeParagraf"/>
        <w:spacing w:after="80"/>
        <w:ind w:left="709" w:right="0"/>
        <w:jc w:val="both"/>
      </w:pPr>
      <w:r>
        <w:rPr>
          <w:rFonts w:ascii="Calibri" w:hAnsi="Calibri" w:cs="Arial"/>
          <w:sz w:val="24"/>
          <w:szCs w:val="24"/>
        </w:rPr>
        <w:t xml:space="preserve">1.1. Semi-finished goods are held here after dyeing/finishing.</w:t>
      </w:r>
    </w:p>
    <w:p>
      <w:pPr>
        <w:pStyle w:val="ListeParagraf"/>
        <w:spacing w:after="80"/>
        <w:ind w:left="709" w:right="0"/>
        <w:jc w:val="both"/>
      </w:pPr>
      <w:r>
        <w:rPr>
          <w:rFonts w:ascii="Calibri" w:hAnsi="Calibri" w:cs="Arial"/>
          <w:sz w:val="24"/>
          <w:szCs w:val="24"/>
        </w:rPr>
        <w:t xml:space="preserve">1.2. Mixing is prevented; aisles kept between stacks.</w:t>
      </w:r>
    </w:p>
    <w:p>
      <w:pPr>
        <w:pStyle w:val="ListeParagraf"/>
        <w:spacing w:after="80"/>
        <w:ind w:left="709" w:right="0"/>
        <w:jc w:val="both"/>
      </w:pPr>
      <w:r>
        <w:rPr>
          <w:rFonts w:ascii="Calibri" w:hAnsi="Calibri" w:cs="Arial"/>
          <w:sz w:val="24"/>
          <w:szCs w:val="24"/>
        </w:rPr>
        <w:t xml:space="preserve">1.3. The area is marked and traceable.</w:t>
      </w:r>
    </w:p>
    <w:p>
      <w:pPr>
        <w:pStyle w:val="ListeParagraf"/>
        <w:spacing w:after="80"/>
        <w:ind w:left="709" w:right="0"/>
        <w:jc w:val="both"/>
      </w:pPr>
      <w:r>
        <w:rPr>
          <w:rFonts w:ascii="Calibri" w:hAnsi="Calibri" w:cs="Arial"/>
          <w:sz w:val="24"/>
          <w:szCs w:val="24"/>
        </w:rPr>
        <w:t xml:space="preserve">1.4. Waiting time and quantity are recorded.</w:t>
      </w:r>
    </w:p>
    <w:p>
      <w:pPr>
        <w:pStyle w:val="ListeParagraf"/>
        <w:spacing w:before="120" w:after="60"/>
        <w:ind w:left="709" w:right="0"/>
        <w:jc w:val="both"/>
      </w:pPr>
      <w:r>
        <w:rPr>
          <w:rFonts w:ascii="Calibri" w:hAnsi="Calibri" w:cs="Arial"/>
          <w:b/>
          <w:bCs/>
          <w:sz w:val="24"/>
          <w:szCs w:val="24"/>
        </w:rPr>
        <w:t xml:space="preserve">2. WORKFLOW</w:t>
      </w:r>
    </w:p>
    <w:p>
      <w:pPr>
        <w:pStyle w:val="ListeParagraf"/>
        <w:spacing w:after="80"/>
        <w:ind w:left="709" w:right="0"/>
        <w:jc w:val="both"/>
      </w:pPr>
      <w:r>
        <w:rPr>
          <w:rFonts w:ascii="Calibri" w:hAnsi="Calibri" w:cs="Arial"/>
          <w:sz w:val="24"/>
          <w:szCs w:val="24"/>
        </w:rPr>
        <w:t xml:space="preserve">2.1. Approved fabric/panels arrive</w:t>
      </w:r>
    </w:p>
    <w:p>
      <w:pPr>
        <w:pStyle w:val="ListeParagraf"/>
        <w:spacing w:after="80"/>
        <w:ind w:left="709" w:right="0"/>
        <w:jc w:val="both"/>
      </w:pPr>
      <w:r>
        <w:rPr>
          <w:rFonts w:ascii="Calibri" w:hAnsi="Calibri" w:cs="Arial"/>
          <w:sz w:val="24"/>
          <w:szCs w:val="24"/>
        </w:rPr>
        <w:t xml:space="preserve">2.2. Lot and quantity recorded</w:t>
      </w:r>
    </w:p>
    <w:p>
      <w:pPr>
        <w:pStyle w:val="ListeParagraf"/>
        <w:spacing w:after="80"/>
        <w:ind w:left="709" w:right="0"/>
        <w:jc w:val="both"/>
      </w:pPr>
      <w:r>
        <w:rPr>
          <w:rFonts w:ascii="Calibri" w:hAnsi="Calibri" w:cs="Arial"/>
          <w:sz w:val="24"/>
          <w:szCs w:val="24"/>
        </w:rPr>
        <w:t xml:space="preserve">2.3. Held as green-tagged stacks</w:t>
      </w:r>
    </w:p>
    <w:p>
      <w:pPr>
        <w:pStyle w:val="ListeParagraf"/>
        <w:spacing w:after="80"/>
        <w:ind w:left="709" w:right="0"/>
        <w:jc w:val="both"/>
      </w:pPr>
      <w:r>
        <w:rPr>
          <w:rFonts w:ascii="Calibri" w:hAnsi="Calibri" w:cs="Arial"/>
          <w:sz w:val="24"/>
          <w:szCs w:val="24"/>
        </w:rPr>
        <w:t xml:space="preserve">2.4. Issued against cutting/sewing order</w:t>
      </w:r>
    </w:p>
    <w:p>
      <w:pPr>
        <w:pStyle w:val="ListeParagraf"/>
        <w:spacing w:after="80"/>
        <w:ind w:left="709" w:right="0"/>
        <w:jc w:val="both"/>
      </w:pPr>
      <w:r>
        <w:rPr>
          <w:rFonts w:ascii="Calibri" w:hAnsi="Calibri" w:cs="Arial"/>
          <w:sz w:val="24"/>
          <w:szCs w:val="24"/>
        </w:rPr>
        <w:t xml:space="preserve">2.5. Issue quantity deducted from record</w:t>
      </w:r>
    </w:p>
    <w:p>
      <w:pPr>
        <w:pStyle w:val="ListeParagraf"/>
        <w:spacing w:before="120" w:after="60"/>
        <w:ind w:left="709" w:right="0"/>
        <w:jc w:val="both"/>
      </w:pPr>
      <w:r>
        <w:rPr>
          <w:rFonts w:ascii="Calibri" w:hAnsi="Calibri" w:cs="Arial"/>
          <w:b/>
          <w:bCs/>
          <w:sz w:val="24"/>
          <w:szCs w:val="24"/>
        </w:rPr>
        <w:t xml:space="preserve">3. CHECKS BEFORE AND DURING WORK</w:t>
      </w:r>
    </w:p>
    <w:p>
      <w:pPr>
        <w:pStyle w:val="ListeParagraf"/>
        <w:spacing w:after="80"/>
        <w:ind w:left="709" w:right="0"/>
        <w:jc w:val="both"/>
      </w:pPr>
      <w:r>
        <w:rPr>
          <w:rFonts w:ascii="Calibri" w:hAnsi="Calibri" w:cs="Arial"/>
          <w:sz w:val="24"/>
          <w:szCs w:val="24"/>
        </w:rPr>
        <w:t xml:space="preserve">3.1. Are stacks lot-tagged?</w:t>
      </w:r>
    </w:p>
    <w:p>
      <w:pPr>
        <w:pStyle w:val="ListeParagraf"/>
        <w:spacing w:after="80"/>
        <w:ind w:left="709" w:right="0"/>
        <w:jc w:val="both"/>
      </w:pPr>
      <w:r>
        <w:rPr>
          <w:rFonts w:ascii="Calibri" w:hAnsi="Calibri" w:cs="Arial"/>
          <w:sz w:val="24"/>
          <w:szCs w:val="24"/>
        </w:rPr>
        <w:t xml:space="preserve">3.2. Any conventional material? (must be none)</w:t>
      </w:r>
    </w:p>
    <w:p>
      <w:pPr>
        <w:pStyle w:val="ListeParagraf"/>
        <w:spacing w:after="80"/>
        <w:ind w:left="709" w:right="0"/>
        <w:jc w:val="both"/>
      </w:pPr>
      <w:r>
        <w:rPr>
          <w:rFonts w:ascii="Calibri" w:hAnsi="Calibri" w:cs="Arial"/>
          <w:sz w:val="24"/>
          <w:szCs w:val="24"/>
        </w:rPr>
        <w:t xml:space="preserve">3.3. Do in/out records match stock?</w:t>
      </w:r>
    </w:p>
    <w:p>
      <w:pPr>
        <w:pStyle w:val="ListeParagraf"/>
        <w:spacing w:after="80"/>
        <w:ind w:left="709" w:right="0"/>
        <w:jc w:val="both"/>
      </w:pPr>
      <w:r>
        <w:rPr>
          <w:rFonts w:ascii="Calibri" w:hAnsi="Calibri" w:cs="Arial"/>
          <w:sz w:val="24"/>
          <w:szCs w:val="24"/>
        </w:rPr>
        <w:t xml:space="preserve">3.4. Is the waiting time reasonable?</w:t>
      </w:r>
    </w:p>
    <w:p>
      <w:pPr>
        <w:pStyle w:val="ListeParagraf"/>
        <w:spacing w:before="120" w:after="60"/>
        <w:ind w:left="709" w:right="0"/>
        <w:jc w:val="both"/>
      </w:pPr>
      <w:r>
        <w:rPr>
          <w:rFonts w:ascii="Calibri" w:hAnsi="Calibri" w:cs="Arial"/>
          <w:b/>
          <w:bCs/>
          <w:sz w:val="24"/>
          <w:szCs w:val="24"/>
        </w:rPr>
        <w:t xml:space="preserve">4. PROHIBITIONS</w:t>
      </w:r>
    </w:p>
    <w:p>
      <w:pPr>
        <w:pStyle w:val="ListeParagraf"/>
        <w:numPr>
          <w:ilvl w:val="0"/>
          <w:numId w:val="1"/>
        </w:numPr>
        <w:spacing w:after="60"/>
        <w:jc w:val="both"/>
      </w:pPr>
      <w:r>
        <w:rPr>
          <w:rFonts w:ascii="Calibri" w:hAnsi="Calibri" w:cs="Arial"/>
          <w:sz w:val="24"/>
          <w:szCs w:val="24"/>
        </w:rPr>
        <w:t xml:space="preserve">Do not mix organic and conventional material in this area, or on the same pallet, trolley, table or carton.</w:t>
      </w:r>
    </w:p>
    <w:p>
      <w:pPr>
        <w:pStyle w:val="ListeParagraf"/>
        <w:numPr>
          <w:ilvl w:val="0"/>
          <w:numId w:val="1"/>
        </w:numPr>
        <w:spacing w:after="60"/>
        <w:jc w:val="both"/>
      </w:pPr>
      <w:r>
        <w:rPr>
          <w:rFonts w:ascii="Calibri" w:hAnsi="Calibri" w:cs="Arial"/>
          <w:sz w:val="24"/>
          <w:szCs w:val="24"/>
        </w:rPr>
        <w:t xml:space="preserve">Do not bring unlabelled or doubtful material into the area.</w:t>
      </w:r>
    </w:p>
    <w:p>
      <w:pPr>
        <w:pStyle w:val="ListeParagraf"/>
        <w:numPr>
          <w:ilvl w:val="0"/>
          <w:numId w:val="1"/>
        </w:numPr>
        <w:spacing w:after="60"/>
        <w:jc w:val="both"/>
      </w:pPr>
      <w:r>
        <w:rPr>
          <w:rFonts w:ascii="Calibri" w:hAnsi="Calibri" w:cs="Arial"/>
          <w:sz w:val="24"/>
          <w:szCs w:val="24"/>
        </w:rPr>
        <w:t xml:space="preserve">Do not remove, cover or change the area signs or the green labels.</w:t>
      </w:r>
    </w:p>
    <w:p>
      <w:pPr>
        <w:pStyle w:val="ListeParagraf"/>
        <w:spacing w:before="120" w:after="60"/>
        <w:ind w:left="709" w:right="0"/>
        <w:jc w:val="both"/>
      </w:pPr>
      <w:r>
        <w:rPr>
          <w:rFonts w:ascii="Calibri" w:hAnsi="Calibri" w:cs="Arial"/>
          <w:b/>
          <w:bCs/>
          <w:sz w:val="24"/>
          <w:szCs w:val="24"/>
        </w:rPr>
        <w:t xml:space="preserve">5. IN CASE OF PROBLEM</w:t>
      </w:r>
    </w:p>
    <w:p>
      <w:pPr>
        <w:pStyle w:val="ListeParagraf"/>
        <w:spacing w:after="80"/>
        <w:ind w:left="709" w:right="0"/>
        <w:jc w:val="both"/>
      </w:pPr>
      <w:r>
        <w:rPr>
          <w:rFonts w:ascii="Calibri" w:hAnsi="Calibri" w:cs="Arial"/>
          <w:sz w:val="24"/>
          <w:szCs w:val="24"/>
        </w:rPr>
        <w:t xml:space="preserve">5.1. If organic and conventional material are mixed, or the status of a material is doubtful, stop work, move the material to the yellow holding area and inform the OCS Coordinator immediately.</w:t>
      </w:r>
    </w:p>
    <w:p>
      <w:pPr>
        <w:pStyle w:val="ListeParagraf"/>
        <w:spacing w:after="80"/>
        <w:ind w:left="709" w:right="0"/>
        <w:jc w:val="both"/>
      </w:pPr>
      <w:r>
        <w:rPr>
          <w:rFonts w:ascii="Calibri" w:hAnsi="Calibri" w:cs="Arial"/>
          <w:sz w:val="24"/>
          <w:szCs w:val="24"/>
        </w:rPr>
        <w:t xml:space="preserve">5.2. Record the case on the Organic Nonconforming Product and Hold Notice (EMS.OR.FRM.21.23). Nonconforming product goes to the red blocked area and is never sold as organic.</w:t>
      </w:r>
    </w:p>
    <w:p>
      <w:pPr>
        <w:pStyle w:val="ListeParagraf"/>
        <w:spacing w:before="120" w:after="60"/>
        <w:ind w:left="709" w:right="0"/>
        <w:jc w:val="both"/>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EMS.OR.POL.21.01. Organic Content Policy</w:t>
      </w:r>
    </w:p>
    <w:p>
      <w:pPr>
        <w:pStyle w:val="ListeParagraf"/>
        <w:numPr>
          <w:ilvl w:val="0"/>
          <w:numId w:val="1"/>
        </w:numPr>
        <w:spacing w:after="60"/>
        <w:jc w:val="both"/>
      </w:pPr>
      <w:r>
        <w:rPr>
          <w:rFonts w:ascii="Calibri" w:hAnsi="Calibri" w:cs="Arial"/>
          <w:sz w:val="24"/>
          <w:szCs w:val="24"/>
        </w:rPr>
        <w:t xml:space="preserve">EMS.OR.PRO.21.01. OCS Material Handling, Segregation and Traceability Procedure</w:t>
      </w:r>
    </w:p>
    <w:p>
      <w:pPr>
        <w:pStyle w:val="ListeParagraf"/>
        <w:numPr>
          <w:ilvl w:val="0"/>
          <w:numId w:val="1"/>
        </w:numPr>
        <w:spacing w:after="60"/>
        <w:jc w:val="both"/>
      </w:pPr>
      <w:r>
        <w:rPr>
          <w:rFonts w:ascii="Calibri" w:hAnsi="Calibri" w:cs="Arial"/>
          <w:sz w:val="24"/>
          <w:szCs w:val="24"/>
        </w:rPr>
        <w:t xml:space="preserve">EMS.OR.PRO.21.02. Organic Production Area Segregation and Visual Identification Procedure</w:t>
      </w:r>
    </w:p>
    <w:p>
      <w:pPr>
        <w:pStyle w:val="ListeParagraf"/>
        <w:numPr>
          <w:ilvl w:val="0"/>
          <w:numId w:val="1"/>
        </w:numPr>
        <w:spacing w:after="60"/>
        <w:jc w:val="both"/>
      </w:pPr>
      <w:r>
        <w:rPr>
          <w:rFonts w:ascii="Calibri" w:hAnsi="Calibri" w:cs="Arial"/>
          <w:sz w:val="24"/>
          <w:szCs w:val="24"/>
        </w:rPr>
        <w:t xml:space="preserve">EMS.OR.TL.21.01. Organic Product Identification and Labelling Instruction</w:t>
      </w:r>
    </w:p>
    <w:p>
      <w:pPr>
        <w:pStyle w:val="ListeParagraf"/>
        <w:numPr>
          <w:ilvl w:val="0"/>
          <w:numId w:val="1"/>
        </w:numPr>
        <w:spacing w:after="60"/>
        <w:jc w:val="both"/>
      </w:pPr>
      <w:r>
        <w:rPr>
          <w:rFonts w:ascii="Calibri" w:hAnsi="Calibri" w:cs="Arial"/>
          <w:sz w:val="24"/>
          <w:szCs w:val="24"/>
        </w:rPr>
        <w:t xml:space="preserve">EMS.OR.TL.21.02. Organic Area Changeover and Line Clearance Cleaning Instruction</w:t>
      </w:r>
    </w:p>
    <w:p>
      <w:pPr>
        <w:pStyle w:val="ListeParagraf"/>
        <w:numPr>
          <w:ilvl w:val="0"/>
          <w:numId w:val="1"/>
        </w:numPr>
        <w:spacing w:after="60"/>
        <w:jc w:val="both"/>
      </w:pPr>
      <w:r>
        <w:rPr>
          <w:rFonts w:ascii="Calibri" w:hAnsi="Calibri" w:cs="Arial"/>
          <w:sz w:val="24"/>
          <w:szCs w:val="24"/>
        </w:rPr>
        <w:t xml:space="preserve">EMS.OR.FRM.21.15. Organic Semi-Finished Goods Movement Record</w:t>
      </w:r>
    </w:p>
    <w:p>
      <w:pPr>
        <w:pStyle w:val="ListeParagraf"/>
        <w:numPr>
          <w:ilvl w:val="0"/>
          <w:numId w:val="1"/>
        </w:numPr>
        <w:spacing w:after="60"/>
        <w:jc w:val="both"/>
      </w:pPr>
      <w:r>
        <w:rPr>
          <w:rFonts w:ascii="Calibri" w:hAnsi="Calibri" w:cs="Arial"/>
          <w:sz w:val="24"/>
          <w:szCs w:val="24"/>
        </w:rPr>
        <w:t xml:space="preserve">EMS.OR.FRM.21.02. Organic Lot Traceability Register</w:t>
      </w:r>
    </w:p>
    <w:p>
      <w:pPr>
        <w:pStyle w:val="ListeParagraf"/>
        <w:numPr>
          <w:ilvl w:val="0"/>
          <w:numId w:val="1"/>
        </w:numPr>
        <w:spacing w:after="60"/>
        <w:jc w:val="both"/>
      </w:pPr>
      <w:r>
        <w:rPr>
          <w:rFonts w:ascii="Calibri" w:hAnsi="Calibri" w:cs="Arial"/>
          <w:sz w:val="24"/>
          <w:szCs w:val="24"/>
        </w:rPr>
        <w:t xml:space="preserve">EMS.OR.FRM.21.23. Organic Nonconforming Product and Hold Notice</w:t>
      </w:r>
    </w:p>
    <w:p>
      <w:pPr>
        <w:pStyle w:val="ListeParagraf"/>
        <w:spacing w:after="80"/>
        <w:ind w:left="709" w:right="0"/>
        <w:jc w:val="both"/>
      </w:pPr>
    </w:p>
    <w:p>
      <w:pPr>
        <w:pStyle w:val="ListeParagraf"/>
        <w:spacing w:before="120" w:after="60"/>
        <w:ind w:left="709" w:right="0"/>
        <w:jc w:val="both"/>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Quality Assurance Supervisor checks the application of this instruction every day and the OCS Coordinator reviews the records every month. The instruction is reviewed at least once a year and whenever the GOTS or OCS standard, customer requirements or the area layout change.</w:t>
      </w:r>
    </w:p>
    <w:p>
      <w:r>
        <w:br w:type="page"/>
      </w:r>
    </w:p>
    <w:p>
      <w:pPr>
        <w:pStyle w:val="ListeParagraf"/>
        <w:bidi/>
        <w:spacing w:before="120" w:after="60"/>
        <w:ind w:left="0" w:right="709"/>
        <w:jc w:val="both"/>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المنطقة اللي بتستنى فيها المنتجات نصف المصنّعة بعد الصباغة/التشطيب لحد القص أو الخياطة.</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التعليمات دي بتتطبق على منطقة المنتجات العضوية تحت التشغيل وعلى كل شخص بيشتغل فيها أو بيدخّل لها مواد، في كل الأوردرات اللي بتتنتج حسب GOTS أو OCS.</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ضمان الجودة:</w:t>
      </w:r>
      <w:r>
        <w:rPr>
          <w:rFonts w:ascii="Calibri" w:hAnsi="Calibri" w:cs="Arial"/>
          <w:rtl/>
          <w:sz w:val="24"/>
          <w:szCs w:val="24"/>
        </w:rPr>
        <w:t xml:space="preserve"> بيحافظ على علامات المنطقة وترتيبها، وبيتأكد إن التعليمات دي وسجلاتها متطبقة، وبيبلّغ منسق OCS بأي مشكلة.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منسق OCS:</w:t>
      </w:r>
      <w:r>
        <w:rPr>
          <w:rFonts w:ascii="Calibri" w:hAnsi="Calibri" w:cs="Arial"/>
          <w:rtl/>
          <w:sz w:val="24"/>
          <w:szCs w:val="24"/>
        </w:rPr>
        <w:t xml:space="preserve"> بيعتمد تجهيز المنطقة، وبيراجع السجلات، وبيتابع الملاحظات والإجراءات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بيفحص المنطقة أثناء الفحص على الخط والفحص النهائي وفي التدقيق الداخلي.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المشغّلون والعمال:</w:t>
      </w:r>
      <w:r>
        <w:rPr>
          <w:rFonts w:ascii="Calibri" w:hAnsi="Calibri" w:cs="Arial"/>
          <w:rtl/>
          <w:sz w:val="24"/>
          <w:szCs w:val="24"/>
        </w:rPr>
        <w:t xml:space="preserve"> بيشتغلوا حسب التعليمات، وبيفصلوا المواد العضوية عن التقليدية، وبيبلّغوا فوراً عن أي شك.</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المنطقة العضوية:</w:t>
      </w:r>
      <w:r>
        <w:rPr>
          <w:rFonts w:ascii="Calibri" w:hAnsi="Calibri" w:cs="Arial"/>
          <w:rtl/>
          <w:sz w:val="24"/>
          <w:szCs w:val="24"/>
        </w:rPr>
        <w:t xml:space="preserve"> منطقة مفصولة فعلياً ومعلّمة بوضوح، بتُستخدم للمواد العضوية GOTS أو OCS بس.</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الملصق الأخضر:</w:t>
      </w:r>
      <w:r>
        <w:rPr>
          <w:rFonts w:ascii="Calibri" w:hAnsi="Calibri" w:cs="Arial"/>
          <w:rtl/>
          <w:sz w:val="24"/>
          <w:szCs w:val="24"/>
        </w:rPr>
        <w:t xml:space="preserve"> ملصق التمييز الداخلي اللي عليه رقم الأوردر والدفعة وشهادة TC، وبتشيله المواد العضوية في المنطقة دي.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المادة التقليدية:</w:t>
      </w:r>
      <w:r>
        <w:rPr>
          <w:rFonts w:ascii="Calibri" w:hAnsi="Calibri" w:cs="Arial"/>
          <w:rtl/>
          <w:sz w:val="24"/>
          <w:szCs w:val="24"/>
        </w:rPr>
        <w:t xml:space="preserve"> أي مادة مش معتمدة عضوية. وما بتدخلش المنطقة دي أبداً.</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التعليمات</w:t>
      </w:r>
    </w:p>
    <w:p>
      <w:pPr>
        <w:pStyle w:val="ListeParagraf"/>
        <w:bidi/>
        <w:spacing w:before="120" w:after="60"/>
        <w:ind w:left="0" w:right="709"/>
        <w:jc w:val="both"/>
      </w:pPr>
      <w:r>
        <w:rPr>
          <w:rFonts w:ascii="Calibri" w:hAnsi="Calibri" w:cs="Arial"/>
          <w:b/>
          <w:bCs/>
          <w:rtl/>
          <w:sz w:val="24"/>
          <w:szCs w:val="24"/>
        </w:rPr>
        <w:t xml:space="preserve">1. قواعد المنطقة</w:t>
      </w:r>
    </w:p>
    <w:p>
      <w:pPr>
        <w:pStyle w:val="ListeParagraf"/>
        <w:bidi/>
        <w:spacing w:after="80"/>
        <w:ind w:left="0" w:right="709"/>
        <w:jc w:val="both"/>
      </w:pPr>
      <w:r>
        <w:rPr>
          <w:rFonts w:ascii="Calibri" w:hAnsi="Calibri" w:cs="Arial"/>
          <w:rtl/>
          <w:sz w:val="24"/>
          <w:szCs w:val="24"/>
        </w:rPr>
        <w:t xml:space="preserve">1.1. المنتجات نصف المصنّعة بتتحفظ هنا بعد الصباغة/التشطيب.</w:t>
      </w:r>
    </w:p>
    <w:p>
      <w:pPr>
        <w:pStyle w:val="ListeParagraf"/>
        <w:bidi/>
        <w:spacing w:after="80"/>
        <w:ind w:left="0" w:right="709"/>
        <w:jc w:val="both"/>
      </w:pPr>
      <w:r>
        <w:rPr>
          <w:rFonts w:ascii="Calibri" w:hAnsi="Calibri" w:cs="Arial"/>
          <w:rtl/>
          <w:sz w:val="24"/>
          <w:szCs w:val="24"/>
        </w:rPr>
        <w:t xml:space="preserve">1.2. ممنوع الاختلاط وبيتساب ممرات بين الأكوام.</w:t>
      </w:r>
    </w:p>
    <w:p>
      <w:pPr>
        <w:pStyle w:val="ListeParagraf"/>
        <w:bidi/>
        <w:spacing w:after="80"/>
        <w:ind w:left="0" w:right="709"/>
        <w:jc w:val="both"/>
      </w:pPr>
      <w:r>
        <w:rPr>
          <w:rFonts w:ascii="Calibri" w:hAnsi="Calibri" w:cs="Arial"/>
          <w:rtl/>
          <w:sz w:val="24"/>
          <w:szCs w:val="24"/>
        </w:rPr>
        <w:t xml:space="preserve">1.3. المنطقة معلّمة وبتتتبع.</w:t>
      </w:r>
    </w:p>
    <w:p>
      <w:pPr>
        <w:pStyle w:val="ListeParagraf"/>
        <w:bidi/>
        <w:spacing w:after="80"/>
        <w:ind w:left="0" w:right="709"/>
        <w:jc w:val="both"/>
      </w:pPr>
      <w:r>
        <w:rPr>
          <w:rFonts w:ascii="Calibri" w:hAnsi="Calibri" w:cs="Arial"/>
          <w:rtl/>
          <w:sz w:val="24"/>
          <w:szCs w:val="24"/>
        </w:rPr>
        <w:t xml:space="preserve">1.4. مدة الانتظار والكمية متسجلة.</w:t>
      </w:r>
    </w:p>
    <w:p>
      <w:pPr>
        <w:pStyle w:val="ListeParagraf"/>
        <w:bidi/>
        <w:spacing w:before="120" w:after="60"/>
        <w:ind w:left="0" w:right="709"/>
        <w:jc w:val="both"/>
      </w:pPr>
      <w:r>
        <w:rPr>
          <w:rFonts w:ascii="Calibri" w:hAnsi="Calibri" w:cs="Arial"/>
          <w:b/>
          <w:bCs/>
          <w:rtl/>
          <w:sz w:val="24"/>
          <w:szCs w:val="24"/>
        </w:rPr>
        <w:t xml:space="preserve">2. تسلسل العمل</w:t>
      </w:r>
    </w:p>
    <w:p>
      <w:pPr>
        <w:pStyle w:val="ListeParagraf"/>
        <w:bidi/>
        <w:spacing w:after="80"/>
        <w:ind w:left="0" w:right="709"/>
        <w:jc w:val="both"/>
      </w:pPr>
      <w:r>
        <w:rPr>
          <w:rFonts w:ascii="Calibri" w:hAnsi="Calibri" w:cs="Arial"/>
          <w:rtl/>
          <w:sz w:val="24"/>
          <w:szCs w:val="24"/>
        </w:rPr>
        <w:t xml:space="preserve">2.1. وصول القماش/القطع المعتمدة</w:t>
      </w:r>
    </w:p>
    <w:p>
      <w:pPr>
        <w:pStyle w:val="ListeParagraf"/>
        <w:bidi/>
        <w:spacing w:after="80"/>
        <w:ind w:left="0" w:right="709"/>
        <w:jc w:val="both"/>
      </w:pPr>
      <w:r>
        <w:rPr>
          <w:rFonts w:ascii="Calibri" w:hAnsi="Calibri" w:cs="Arial"/>
          <w:rtl/>
          <w:sz w:val="24"/>
          <w:szCs w:val="24"/>
        </w:rPr>
        <w:t xml:space="preserve">2.2. تسجيل الدفعة والكمية</w:t>
      </w:r>
    </w:p>
    <w:p>
      <w:pPr>
        <w:pStyle w:val="ListeParagraf"/>
        <w:bidi/>
        <w:spacing w:after="80"/>
        <w:ind w:left="0" w:right="709"/>
        <w:jc w:val="both"/>
      </w:pPr>
      <w:r>
        <w:rPr>
          <w:rFonts w:ascii="Calibri" w:hAnsi="Calibri" w:cs="Arial"/>
          <w:rtl/>
          <w:sz w:val="24"/>
          <w:szCs w:val="24"/>
        </w:rPr>
        <w:t xml:space="preserve">2.3. بتتحفظ أكوام ببطاقات خضرا</w:t>
      </w:r>
    </w:p>
    <w:p>
      <w:pPr>
        <w:pStyle w:val="ListeParagraf"/>
        <w:bidi/>
        <w:spacing w:after="80"/>
        <w:ind w:left="0" w:right="709"/>
        <w:jc w:val="both"/>
      </w:pPr>
      <w:r>
        <w:rPr>
          <w:rFonts w:ascii="Calibri" w:hAnsi="Calibri" w:cs="Arial"/>
          <w:rtl/>
          <w:sz w:val="24"/>
          <w:szCs w:val="24"/>
        </w:rPr>
        <w:t xml:space="preserve">2.4. الصرف بأمر القص/الخياطة</w:t>
      </w:r>
    </w:p>
    <w:p>
      <w:pPr>
        <w:pStyle w:val="ListeParagraf"/>
        <w:bidi/>
        <w:spacing w:after="80"/>
        <w:ind w:left="0" w:right="709"/>
        <w:jc w:val="both"/>
      </w:pPr>
      <w:r>
        <w:rPr>
          <w:rFonts w:ascii="Calibri" w:hAnsi="Calibri" w:cs="Arial"/>
          <w:rtl/>
          <w:sz w:val="24"/>
          <w:szCs w:val="24"/>
        </w:rPr>
        <w:t xml:space="preserve">2.5. خصم الكمية المصروفة من السجل</w:t>
      </w:r>
    </w:p>
    <w:p>
      <w:pPr>
        <w:pStyle w:val="ListeParagraf"/>
        <w:bidi/>
        <w:spacing w:before="120" w:after="60"/>
        <w:ind w:left="0" w:right="709"/>
        <w:jc w:val="both"/>
      </w:pPr>
      <w:r>
        <w:rPr>
          <w:rFonts w:ascii="Calibri" w:hAnsi="Calibri" w:cs="Arial"/>
          <w:b/>
          <w:bCs/>
          <w:rtl/>
          <w:sz w:val="24"/>
          <w:szCs w:val="24"/>
        </w:rPr>
        <w:t xml:space="preserve">3. الفحوصات قبل العمل وأثناءه</w:t>
      </w:r>
    </w:p>
    <w:p>
      <w:pPr>
        <w:pStyle w:val="ListeParagraf"/>
        <w:bidi/>
        <w:spacing w:after="80"/>
        <w:ind w:left="0" w:right="709"/>
        <w:jc w:val="both"/>
      </w:pPr>
      <w:r>
        <w:rPr>
          <w:rFonts w:ascii="Calibri" w:hAnsi="Calibri" w:cs="Arial"/>
          <w:rtl/>
          <w:sz w:val="24"/>
          <w:szCs w:val="24"/>
        </w:rPr>
        <w:t xml:space="preserve">3.1. الأكوام متعلّمة بالدفعة؟</w:t>
      </w:r>
    </w:p>
    <w:p>
      <w:pPr>
        <w:pStyle w:val="ListeParagraf"/>
        <w:bidi/>
        <w:spacing w:after="80"/>
        <w:ind w:left="0" w:right="709"/>
        <w:jc w:val="both"/>
      </w:pPr>
      <w:r>
        <w:rPr>
          <w:rFonts w:ascii="Calibri" w:hAnsi="Calibri" w:cs="Arial"/>
          <w:rtl/>
          <w:sz w:val="24"/>
          <w:szCs w:val="24"/>
        </w:rPr>
        <w:t xml:space="preserve">3.2. فيه مواد تقليدية؟ (المفروض مفيش)</w:t>
      </w:r>
    </w:p>
    <w:p>
      <w:pPr>
        <w:pStyle w:val="ListeParagraf"/>
        <w:bidi/>
        <w:spacing w:after="80"/>
        <w:ind w:left="0" w:right="709"/>
        <w:jc w:val="both"/>
      </w:pPr>
      <w:r>
        <w:rPr>
          <w:rFonts w:ascii="Calibri" w:hAnsi="Calibri" w:cs="Arial"/>
          <w:rtl/>
          <w:sz w:val="24"/>
          <w:szCs w:val="24"/>
        </w:rPr>
        <w:t xml:space="preserve">3.3. سجل الدخول/الخروج مطابق للمخزون؟</w:t>
      </w:r>
    </w:p>
    <w:p>
      <w:pPr>
        <w:pStyle w:val="ListeParagraf"/>
        <w:bidi/>
        <w:spacing w:after="80"/>
        <w:ind w:left="0" w:right="709"/>
        <w:jc w:val="both"/>
      </w:pPr>
      <w:r>
        <w:rPr>
          <w:rFonts w:ascii="Calibri" w:hAnsi="Calibri" w:cs="Arial"/>
          <w:rtl/>
          <w:sz w:val="24"/>
          <w:szCs w:val="24"/>
        </w:rPr>
        <w:t xml:space="preserve">3.4. مدة الانتظار معقولة؟</w:t>
      </w:r>
    </w:p>
    <w:p>
      <w:pPr>
        <w:pStyle w:val="ListeParagraf"/>
        <w:bidi/>
        <w:spacing w:before="120" w:after="60"/>
        <w:ind w:left="0" w:right="709"/>
        <w:jc w:val="both"/>
      </w:pPr>
      <w:r>
        <w:rPr>
          <w:rFonts w:ascii="Calibri" w:hAnsi="Calibri" w:cs="Arial"/>
          <w:b/>
          <w:bCs/>
          <w:rtl/>
          <w:sz w:val="24"/>
          <w:szCs w:val="24"/>
        </w:rPr>
        <w:t xml:space="preserve">4. المحظورات</w:t>
      </w:r>
    </w:p>
    <w:p>
      <w:pPr>
        <w:pStyle w:val="ListeParagraf"/>
        <w:numPr>
          <w:ilvl w:val="0"/>
          <w:numId w:val="1"/>
        </w:numPr>
        <w:bidi/>
        <w:spacing w:after="60"/>
        <w:jc w:val="both"/>
      </w:pPr>
      <w:r>
        <w:rPr>
          <w:rFonts w:ascii="Calibri" w:hAnsi="Calibri" w:cs="Arial"/>
          <w:rtl/>
          <w:sz w:val="24"/>
          <w:szCs w:val="24"/>
        </w:rPr>
        <w:t xml:space="preserve">لا تخلط المواد العضوية والتقليدية في المنطقة دي، ولا على نفس البالتة أو العربية أو الترابيزة أو الكرتونة.</w:t>
      </w:r>
    </w:p>
    <w:p>
      <w:pPr>
        <w:pStyle w:val="ListeParagraf"/>
        <w:numPr>
          <w:ilvl w:val="0"/>
          <w:numId w:val="1"/>
        </w:numPr>
        <w:bidi/>
        <w:spacing w:after="60"/>
        <w:jc w:val="both"/>
      </w:pPr>
      <w:r>
        <w:rPr>
          <w:rFonts w:ascii="Calibri" w:hAnsi="Calibri" w:cs="Arial"/>
          <w:rtl/>
          <w:sz w:val="24"/>
          <w:szCs w:val="24"/>
        </w:rPr>
        <w:t xml:space="preserve">لا تدخّل مادة من غير ملصق أو مشكوك في حالتها للمنطقة.</w:t>
      </w:r>
    </w:p>
    <w:p>
      <w:pPr>
        <w:pStyle w:val="ListeParagraf"/>
        <w:numPr>
          <w:ilvl w:val="0"/>
          <w:numId w:val="1"/>
        </w:numPr>
        <w:bidi/>
        <w:spacing w:after="60"/>
        <w:jc w:val="both"/>
      </w:pPr>
      <w:r>
        <w:rPr>
          <w:rFonts w:ascii="Calibri" w:hAnsi="Calibri" w:cs="Arial"/>
          <w:rtl/>
          <w:sz w:val="24"/>
          <w:szCs w:val="24"/>
        </w:rPr>
        <w:t xml:space="preserve">لا تشيل ولا تغطّي ولا تغيّر لافتات المنطقة أو الملصقات الخضراء.</w:t>
      </w:r>
    </w:p>
    <w:p>
      <w:pPr>
        <w:pStyle w:val="ListeParagraf"/>
        <w:bidi/>
        <w:spacing w:before="120" w:after="60"/>
        <w:ind w:left="0" w:right="709"/>
        <w:jc w:val="both"/>
      </w:pPr>
      <w:r>
        <w:rPr>
          <w:rFonts w:ascii="Calibri" w:hAnsi="Calibri" w:cs="Arial"/>
          <w:b/>
          <w:bCs/>
          <w:rtl/>
          <w:sz w:val="24"/>
          <w:szCs w:val="24"/>
        </w:rPr>
        <w:t xml:space="preserve">5. في حالة وجود مشكلة</w:t>
      </w:r>
    </w:p>
    <w:p>
      <w:pPr>
        <w:pStyle w:val="ListeParagraf"/>
        <w:bidi/>
        <w:spacing w:after="80"/>
        <w:ind w:left="0" w:right="709"/>
        <w:jc w:val="both"/>
      </w:pPr>
      <w:r>
        <w:rPr>
          <w:rFonts w:ascii="Calibri" w:hAnsi="Calibri" w:cs="Arial"/>
          <w:rtl/>
          <w:sz w:val="24"/>
          <w:szCs w:val="24"/>
        </w:rPr>
        <w:t xml:space="preserve">5.1. لو المواد العضوية والتقليدية اتخلطت، أو حالة مادة مشكوك فيها، وقّف الشغل، وانقل المادة لمنطقة الانتظار الصفراء، وبلّغ منسق OCS فوراً.</w:t>
      </w:r>
    </w:p>
    <w:p>
      <w:pPr>
        <w:pStyle w:val="ListeParagraf"/>
        <w:bidi/>
        <w:spacing w:after="80"/>
        <w:ind w:left="0" w:right="709"/>
        <w:jc w:val="both"/>
      </w:pPr>
      <w:r>
        <w:rPr>
          <w:rFonts w:ascii="Calibri" w:hAnsi="Calibri" w:cs="Arial"/>
          <w:rtl/>
          <w:sz w:val="24"/>
          <w:szCs w:val="24"/>
        </w:rPr>
        <w:t xml:space="preserve">5.2. سجّل الحالة في نموذج إشعار المنتج العضوي غير المطابق والحجز (EMS.OR.FRM.21.23). المنتج غير المطابق بيروح لمنطقة الحجز الحمراء وما بيتباعش على إنه عضوي أبداً.</w:t>
      </w:r>
    </w:p>
    <w:p>
      <w:pPr>
        <w:pStyle w:val="ListeParagraf"/>
        <w:bidi/>
        <w:spacing w:before="120" w:after="60"/>
        <w:ind w:left="0" w:right="709"/>
        <w:jc w:val="both"/>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EMS.OR.POL.21.01. سياسة المحتوى العضوي</w:t>
      </w:r>
    </w:p>
    <w:p>
      <w:pPr>
        <w:pStyle w:val="ListeParagraf"/>
        <w:numPr>
          <w:ilvl w:val="0"/>
          <w:numId w:val="1"/>
        </w:numPr>
        <w:bidi/>
        <w:spacing w:after="60"/>
        <w:jc w:val="both"/>
      </w:pPr>
      <w:r>
        <w:rPr>
          <w:rFonts w:ascii="Calibri" w:hAnsi="Calibri" w:cs="Arial"/>
          <w:rtl/>
          <w:sz w:val="24"/>
          <w:szCs w:val="24"/>
        </w:rPr>
        <w:t xml:space="preserve">EMS.OR.PRO.21.01. إجراء مناولة مواد OCS وفصلها وتتبعها</w:t>
      </w:r>
    </w:p>
    <w:p>
      <w:pPr>
        <w:pStyle w:val="ListeParagraf"/>
        <w:numPr>
          <w:ilvl w:val="0"/>
          <w:numId w:val="1"/>
        </w:numPr>
        <w:bidi/>
        <w:spacing w:after="60"/>
        <w:jc w:val="both"/>
      </w:pPr>
      <w:r>
        <w:rPr>
          <w:rFonts w:ascii="Calibri" w:hAnsi="Calibri" w:cs="Arial"/>
          <w:rtl/>
          <w:sz w:val="24"/>
          <w:szCs w:val="24"/>
        </w:rPr>
        <w:t xml:space="preserve">EMS.OR.PRO.21.02. إجراء فصل مناطق الإنتاج العضوي وتمييزها بصرياً</w:t>
      </w:r>
    </w:p>
    <w:p>
      <w:pPr>
        <w:pStyle w:val="ListeParagraf"/>
        <w:numPr>
          <w:ilvl w:val="0"/>
          <w:numId w:val="1"/>
        </w:numPr>
        <w:bidi/>
        <w:spacing w:after="60"/>
        <w:jc w:val="both"/>
      </w:pPr>
      <w:r>
        <w:rPr>
          <w:rFonts w:ascii="Calibri" w:hAnsi="Calibri" w:cs="Arial"/>
          <w:rtl/>
          <w:sz w:val="24"/>
          <w:szCs w:val="24"/>
        </w:rPr>
        <w:t xml:space="preserve">EMS.OR.TL.21.01. تعليمات تمييز المنتجات العضوية وتوسيمها</w:t>
      </w:r>
    </w:p>
    <w:p>
      <w:pPr>
        <w:pStyle w:val="ListeParagraf"/>
        <w:numPr>
          <w:ilvl w:val="0"/>
          <w:numId w:val="1"/>
        </w:numPr>
        <w:bidi/>
        <w:spacing w:after="60"/>
        <w:jc w:val="both"/>
      </w:pPr>
      <w:r>
        <w:rPr>
          <w:rFonts w:ascii="Calibri" w:hAnsi="Calibri" w:cs="Arial"/>
          <w:rtl/>
          <w:sz w:val="24"/>
          <w:szCs w:val="24"/>
        </w:rPr>
        <w:t xml:space="preserve">EMS.OR.TL.21.02. تعليمات التنظيف عند تبديل المنطقة العضوية وتفريغ الخط</w:t>
      </w:r>
    </w:p>
    <w:p>
      <w:pPr>
        <w:pStyle w:val="ListeParagraf"/>
        <w:numPr>
          <w:ilvl w:val="0"/>
          <w:numId w:val="1"/>
        </w:numPr>
        <w:bidi/>
        <w:spacing w:after="60"/>
        <w:jc w:val="both"/>
      </w:pPr>
      <w:r>
        <w:rPr>
          <w:rFonts w:ascii="Calibri" w:hAnsi="Calibri" w:cs="Arial"/>
          <w:rtl/>
          <w:sz w:val="24"/>
          <w:szCs w:val="24"/>
        </w:rPr>
        <w:t xml:space="preserve">EMS.OR.FRM.21.15. سجل حركة المنتجات العضوية تحت التشغيل</w:t>
      </w:r>
    </w:p>
    <w:p>
      <w:pPr>
        <w:pStyle w:val="ListeParagraf"/>
        <w:numPr>
          <w:ilvl w:val="0"/>
          <w:numId w:val="1"/>
        </w:numPr>
        <w:bidi/>
        <w:spacing w:after="60"/>
        <w:jc w:val="both"/>
      </w:pPr>
      <w:r>
        <w:rPr>
          <w:rFonts w:ascii="Calibri" w:hAnsi="Calibri" w:cs="Arial"/>
          <w:rtl/>
          <w:sz w:val="24"/>
          <w:szCs w:val="24"/>
        </w:rPr>
        <w:t xml:space="preserve">EMS.OR.FRM.21.02. سجل تتبع الدفعات العضوية</w:t>
      </w:r>
    </w:p>
    <w:p>
      <w:pPr>
        <w:pStyle w:val="ListeParagraf"/>
        <w:numPr>
          <w:ilvl w:val="0"/>
          <w:numId w:val="1"/>
        </w:numPr>
        <w:bidi/>
        <w:spacing w:after="60"/>
        <w:jc w:val="both"/>
      </w:pPr>
      <w:r>
        <w:rPr>
          <w:rFonts w:ascii="Calibri" w:hAnsi="Calibri" w:cs="Arial"/>
          <w:rtl/>
          <w:sz w:val="24"/>
          <w:szCs w:val="24"/>
        </w:rPr>
        <w:t xml:space="preserve">EMS.OR.FRM.21.23. نموذج إشعار المنتج العضوي غير المطابق والحجز</w:t>
      </w:r>
    </w:p>
    <w:p>
      <w:pPr>
        <w:pStyle w:val="ListeParagraf"/>
        <w:bidi/>
        <w:spacing w:after="80"/>
        <w:ind w:left="0" w:right="709"/>
        <w:jc w:val="both"/>
      </w:pPr>
    </w:p>
    <w:p>
      <w:pPr>
        <w:pStyle w:val="ListeParagraf"/>
        <w:bidi/>
        <w:spacing w:before="120" w:after="60"/>
        <w:ind w:left="0" w:right="709"/>
        <w:jc w:val="both"/>
      </w:pPr>
      <w:r>
        <w:rPr>
          <w:rFonts w:ascii="Calibri" w:hAnsi="Calibri" w:cs="Arial"/>
          <w:b/>
          <w:bCs/>
          <w:rtl/>
          <w:sz w:val="24"/>
          <w:szCs w:val="24"/>
        </w:rPr>
        <w:t xml:space="preserve">7. المتابعة والمراجعة</w:t>
      </w:r>
    </w:p>
    <w:p>
      <w:pPr>
        <w:pStyle w:val="ListeParagraf"/>
        <w:bidi/>
        <w:spacing w:after="80"/>
        <w:ind w:left="0" w:right="709"/>
        <w:jc w:val="both"/>
      </w:pPr>
      <w:r>
        <w:rPr>
          <w:rFonts w:ascii="Calibri" w:hAnsi="Calibri" w:cs="Arial"/>
          <w:rtl/>
          <w:sz w:val="24"/>
          <w:szCs w:val="24"/>
        </w:rPr>
        <w:t xml:space="preserve">مشرف ضمان الجودة بيتحقق من تطبيق التعليمات دي كل يوم، ومنسق OCS بيراجع السجلات كل شهر. وبتتراجع التعليمات مرة في السنة على الأقل، وكمان لما بيتغير معيار GOTS أو OCS أو متطلبات العملاء أو تخطيط المنطقة.</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OCS / GOTS Koordinatörü (Sürdürülebilirlik / Kalite)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ORGANIC SEMI-FINISHED GOODS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المنتجات العضوية تحت التشغيل</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EMS.OR.TL.21.10.</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2</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22.10.2026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EMS.OR.TL.21.01. ORGANIC PRODUCT IDENTIFICATION AND LABELLING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