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intake area where organic fibre, yarn and fabric are received, certificates verified and goods kept physically apart from conventional material.</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Raw Material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Organic raw materials are stored separately and never mixed with conventional.</w:t>
      </w:r>
    </w:p>
    <w:p>
      <w:pPr>
        <w:pStyle w:val="ListeParagraf"/>
        <w:spacing w:after="80"/>
        <w:ind w:left="709" w:right="0"/>
        <w:jc w:val="both"/>
      </w:pPr>
      <w:r>
        <w:rPr>
          <w:rFonts w:ascii="Calibri" w:hAnsi="Calibri" w:cs="Arial"/>
          <w:sz w:val="24"/>
          <w:szCs w:val="24"/>
        </w:rPr>
        <w:t xml:space="preserve">1.2. The area is marked on the floor and wall; the sign reads 'ORGANIC'.</w:t>
      </w:r>
    </w:p>
    <w:p>
      <w:pPr>
        <w:pStyle w:val="ListeParagraf"/>
        <w:spacing w:after="80"/>
        <w:ind w:left="709" w:right="0"/>
        <w:jc w:val="both"/>
      </w:pPr>
      <w:r>
        <w:rPr>
          <w:rFonts w:ascii="Calibri" w:hAnsi="Calibri" w:cs="Arial"/>
          <w:sz w:val="24"/>
          <w:szCs w:val="24"/>
        </w:rPr>
        <w:t xml:space="preserve">1.3. Every pallet/bale carries a lot-numbered label and does not touch the floor.</w:t>
      </w:r>
    </w:p>
    <w:p>
      <w:pPr>
        <w:pStyle w:val="ListeParagraf"/>
        <w:spacing w:after="80"/>
        <w:ind w:left="709" w:right="0"/>
        <w:jc w:val="both"/>
      </w:pPr>
      <w:r>
        <w:rPr>
          <w:rFonts w:ascii="Calibri" w:hAnsi="Calibri" w:cs="Arial"/>
          <w:sz w:val="24"/>
          <w:szCs w:val="24"/>
        </w:rPr>
        <w:t xml:space="preserve">1.4. On every delivery the transaction certificate (TC) is matched with the invoice.</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Delivery arrives</w:t>
      </w:r>
    </w:p>
    <w:p>
      <w:pPr>
        <w:pStyle w:val="ListeParagraf"/>
        <w:spacing w:after="80"/>
        <w:ind w:left="709" w:right="0"/>
        <w:jc w:val="both"/>
      </w:pPr>
      <w:r>
        <w:rPr>
          <w:rFonts w:ascii="Calibri" w:hAnsi="Calibri" w:cs="Arial"/>
          <w:sz w:val="24"/>
          <w:szCs w:val="24"/>
        </w:rPr>
        <w:t xml:space="preserve">2.2. TC, invoice and lot number are compared</w:t>
      </w:r>
    </w:p>
    <w:p>
      <w:pPr>
        <w:pStyle w:val="ListeParagraf"/>
        <w:spacing w:after="80"/>
        <w:ind w:left="709" w:right="0"/>
        <w:jc w:val="both"/>
      </w:pPr>
      <w:r>
        <w:rPr>
          <w:rFonts w:ascii="Calibri" w:hAnsi="Calibri" w:cs="Arial"/>
          <w:sz w:val="24"/>
          <w:szCs w:val="24"/>
        </w:rPr>
        <w:t xml:space="preserve">2.3. Goods-receipt record opened, quantity counted</w:t>
      </w:r>
    </w:p>
    <w:p>
      <w:pPr>
        <w:pStyle w:val="ListeParagraf"/>
        <w:spacing w:after="80"/>
        <w:ind w:left="709" w:right="0"/>
        <w:jc w:val="both"/>
      </w:pPr>
      <w:r>
        <w:rPr>
          <w:rFonts w:ascii="Calibri" w:hAnsi="Calibri" w:cs="Arial"/>
          <w:sz w:val="24"/>
          <w:szCs w:val="24"/>
        </w:rPr>
        <w:t xml:space="preserve">2.4. Moved to the organic area; green label applied if conforming</w:t>
      </w:r>
    </w:p>
    <w:p>
      <w:pPr>
        <w:pStyle w:val="ListeParagraf"/>
        <w:spacing w:after="80"/>
        <w:ind w:left="709" w:right="0"/>
        <w:jc w:val="both"/>
      </w:pPr>
      <w:r>
        <w:rPr>
          <w:rFonts w:ascii="Calibri" w:hAnsi="Calibri" w:cs="Arial"/>
          <w:sz w:val="24"/>
          <w:szCs w:val="24"/>
        </w:rPr>
        <w:t xml:space="preserve">2.5. Entered in the traceability record</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Is the TC valid and matched with the invoice?</w:t>
      </w:r>
    </w:p>
    <w:p>
      <w:pPr>
        <w:pStyle w:val="ListeParagraf"/>
        <w:spacing w:after="80"/>
        <w:ind w:left="709" w:right="0"/>
        <w:jc w:val="both"/>
      </w:pPr>
      <w:r>
        <w:rPr>
          <w:rFonts w:ascii="Calibri" w:hAnsi="Calibri" w:cs="Arial"/>
          <w:sz w:val="24"/>
          <w:szCs w:val="24"/>
        </w:rPr>
        <w:t xml:space="preserve">3.2. Does the lot number on the label match the TC?</w:t>
      </w:r>
    </w:p>
    <w:p>
      <w:pPr>
        <w:pStyle w:val="ListeParagraf"/>
        <w:spacing w:after="80"/>
        <w:ind w:left="709" w:right="0"/>
        <w:jc w:val="both"/>
      </w:pPr>
      <w:r>
        <w:rPr>
          <w:rFonts w:ascii="Calibri" w:hAnsi="Calibri" w:cs="Arial"/>
          <w:sz w:val="24"/>
          <w:szCs w:val="24"/>
        </w:rPr>
        <w:t xml:space="preserve">3.3. Is the area marked and separate from conventional?</w:t>
      </w:r>
    </w:p>
    <w:p>
      <w:pPr>
        <w:pStyle w:val="ListeParagraf"/>
        <w:spacing w:after="80"/>
        <w:ind w:left="709" w:right="0"/>
        <w:jc w:val="both"/>
      </w:pPr>
      <w:r>
        <w:rPr>
          <w:rFonts w:ascii="Calibri" w:hAnsi="Calibri" w:cs="Arial"/>
          <w:sz w:val="24"/>
          <w:szCs w:val="24"/>
        </w:rPr>
        <w:t xml:space="preserve">3.4. Are pallets/bales labelled and off the floor?</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EMS.OR.FRM.21.01. Organic Raw Material Receiving and TC Verification Form</w:t>
      </w:r>
    </w:p>
    <w:p>
      <w:pPr>
        <w:pStyle w:val="ListeParagraf"/>
        <w:numPr>
          <w:ilvl w:val="0"/>
          <w:numId w:val="1"/>
        </w:numPr>
        <w:spacing w:after="60"/>
        <w:jc w:val="both"/>
      </w:pPr>
      <w:r>
        <w:rPr>
          <w:rFonts w:ascii="Calibri" w:hAnsi="Calibri" w:cs="Arial"/>
          <w:sz w:val="24"/>
          <w:szCs w:val="24"/>
        </w:rPr>
        <w:t xml:space="preserve">EMS.OR.FRM.21.02. Organic Lot Traceability Register</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Warehouse Supervisor checks the application of this instruction for every lot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منطقة الاستلام اللي بنستلم فيها الألياف والخيوط والأقمشة العضوية، وبنراجع شهاداتها، وبنفصلها فعلياً عن المواد التقليدية.</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المواد الخام العضوية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المخزن:</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المواد الخام العضوية بتتخزن لوحدها وما بتتخلطش بالتقليدية.</w:t>
      </w:r>
    </w:p>
    <w:p>
      <w:pPr>
        <w:pStyle w:val="ListeParagraf"/>
        <w:bidi/>
        <w:spacing w:after="80"/>
        <w:ind w:left="0" w:right="709"/>
        <w:jc w:val="both"/>
      </w:pPr>
      <w:r>
        <w:rPr>
          <w:rFonts w:ascii="Calibri" w:hAnsi="Calibri" w:cs="Arial"/>
          <w:rtl/>
          <w:sz w:val="24"/>
          <w:szCs w:val="24"/>
        </w:rPr>
        <w:t xml:space="preserve">1.2. المنطقة بتتعلّم على الأرض والحيطة وعليها لافتة 'عضوي'.</w:t>
      </w:r>
    </w:p>
    <w:p>
      <w:pPr>
        <w:pStyle w:val="ListeParagraf"/>
        <w:bidi/>
        <w:spacing w:after="80"/>
        <w:ind w:left="0" w:right="709"/>
        <w:jc w:val="both"/>
      </w:pPr>
      <w:r>
        <w:rPr>
          <w:rFonts w:ascii="Calibri" w:hAnsi="Calibri" w:cs="Arial"/>
          <w:rtl/>
          <w:sz w:val="24"/>
          <w:szCs w:val="24"/>
        </w:rPr>
        <w:t xml:space="preserve">1.3. كل بالتة/بالة عليها ملصق برقم الدفعة ومش لازقة في الأرض.</w:t>
      </w:r>
    </w:p>
    <w:p>
      <w:pPr>
        <w:pStyle w:val="ListeParagraf"/>
        <w:bidi/>
        <w:spacing w:after="80"/>
        <w:ind w:left="0" w:right="709"/>
        <w:jc w:val="both"/>
      </w:pPr>
      <w:r>
        <w:rPr>
          <w:rFonts w:ascii="Calibri" w:hAnsi="Calibri" w:cs="Arial"/>
          <w:rtl/>
          <w:sz w:val="24"/>
          <w:szCs w:val="24"/>
        </w:rPr>
        <w:t xml:space="preserve">1.4. شهادة المعاملة (TC) بتتطابق مع الفاتورة عند كل شحنة.</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وصول الشحنة</w:t>
      </w:r>
    </w:p>
    <w:p>
      <w:pPr>
        <w:pStyle w:val="ListeParagraf"/>
        <w:bidi/>
        <w:spacing w:after="80"/>
        <w:ind w:left="0" w:right="709"/>
        <w:jc w:val="both"/>
      </w:pPr>
      <w:r>
        <w:rPr>
          <w:rFonts w:ascii="Calibri" w:hAnsi="Calibri" w:cs="Arial"/>
          <w:rtl/>
          <w:sz w:val="24"/>
          <w:szCs w:val="24"/>
        </w:rPr>
        <w:t xml:space="preserve">2.2. مقارنة TC والفاتورة ورقم الدفعة</w:t>
      </w:r>
    </w:p>
    <w:p>
      <w:pPr>
        <w:pStyle w:val="ListeParagraf"/>
        <w:bidi/>
        <w:spacing w:after="80"/>
        <w:ind w:left="0" w:right="709"/>
        <w:jc w:val="both"/>
      </w:pPr>
      <w:r>
        <w:rPr>
          <w:rFonts w:ascii="Calibri" w:hAnsi="Calibri" w:cs="Arial"/>
          <w:rtl/>
          <w:sz w:val="24"/>
          <w:szCs w:val="24"/>
        </w:rPr>
        <w:t xml:space="preserve">2.3. فتح سجل الاستلام وعدّ الكمية</w:t>
      </w:r>
    </w:p>
    <w:p>
      <w:pPr>
        <w:pStyle w:val="ListeParagraf"/>
        <w:bidi/>
        <w:spacing w:after="80"/>
        <w:ind w:left="0" w:right="709"/>
        <w:jc w:val="both"/>
      </w:pPr>
      <w:r>
        <w:rPr>
          <w:rFonts w:ascii="Calibri" w:hAnsi="Calibri" w:cs="Arial"/>
          <w:rtl/>
          <w:sz w:val="24"/>
          <w:szCs w:val="24"/>
        </w:rPr>
        <w:t xml:space="preserve">2.4. النقل لمنطقة العضوي ولصق الملصق الأخضر لو مطابق</w:t>
      </w:r>
    </w:p>
    <w:p>
      <w:pPr>
        <w:pStyle w:val="ListeParagraf"/>
        <w:bidi/>
        <w:spacing w:after="80"/>
        <w:ind w:left="0" w:right="709"/>
        <w:jc w:val="both"/>
      </w:pPr>
      <w:r>
        <w:rPr>
          <w:rFonts w:ascii="Calibri" w:hAnsi="Calibri" w:cs="Arial"/>
          <w:rtl/>
          <w:sz w:val="24"/>
          <w:szCs w:val="24"/>
        </w:rPr>
        <w:t xml:space="preserve">2.5. التسجيل في سجل التتبع</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شهادة TC سارية ومطابقة للفاتورة؟</w:t>
      </w:r>
    </w:p>
    <w:p>
      <w:pPr>
        <w:pStyle w:val="ListeParagraf"/>
        <w:bidi/>
        <w:spacing w:after="80"/>
        <w:ind w:left="0" w:right="709"/>
        <w:jc w:val="both"/>
      </w:pPr>
      <w:r>
        <w:rPr>
          <w:rFonts w:ascii="Calibri" w:hAnsi="Calibri" w:cs="Arial"/>
          <w:rtl/>
          <w:sz w:val="24"/>
          <w:szCs w:val="24"/>
        </w:rPr>
        <w:t xml:space="preserve">3.2. رقم الدفعة على الملصق مطابق لـ TC؟</w:t>
      </w:r>
    </w:p>
    <w:p>
      <w:pPr>
        <w:pStyle w:val="ListeParagraf"/>
        <w:bidi/>
        <w:spacing w:after="80"/>
        <w:ind w:left="0" w:right="709"/>
        <w:jc w:val="both"/>
      </w:pPr>
      <w:r>
        <w:rPr>
          <w:rFonts w:ascii="Calibri" w:hAnsi="Calibri" w:cs="Arial"/>
          <w:rtl/>
          <w:sz w:val="24"/>
          <w:szCs w:val="24"/>
        </w:rPr>
        <w:t xml:space="preserve">3.3. المنطقة معلّمة ومفصولة عن التقليدية؟</w:t>
      </w:r>
    </w:p>
    <w:p>
      <w:pPr>
        <w:pStyle w:val="ListeParagraf"/>
        <w:bidi/>
        <w:spacing w:after="80"/>
        <w:ind w:left="0" w:right="709"/>
        <w:jc w:val="both"/>
      </w:pPr>
      <w:r>
        <w:rPr>
          <w:rFonts w:ascii="Calibri" w:hAnsi="Calibri" w:cs="Arial"/>
          <w:rtl/>
          <w:sz w:val="24"/>
          <w:szCs w:val="24"/>
        </w:rPr>
        <w:t xml:space="preserve">3.4. البالتات/البالات متعلّمة ومرفوعة عن الأرض؟</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EMS.OR.FRM.21.01. نموذج استلام المواد الخام العضوية والتحقق من شهادة المعاملة</w:t>
      </w:r>
    </w:p>
    <w:p>
      <w:pPr>
        <w:pStyle w:val="ListeParagraf"/>
        <w:numPr>
          <w:ilvl w:val="0"/>
          <w:numId w:val="1"/>
        </w:numPr>
        <w:bidi/>
        <w:spacing w:after="60"/>
        <w:jc w:val="both"/>
      </w:pPr>
      <w:r>
        <w:rPr>
          <w:rFonts w:ascii="Calibri" w:hAnsi="Calibri" w:cs="Arial"/>
          <w:rtl/>
          <w:sz w:val="24"/>
          <w:szCs w:val="24"/>
        </w:rPr>
        <w:t xml:space="preserve">EMS.OR.FRM.21.02. سجل تتبع الدفعات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المخزن بيتحقق من تطبيق التعليمات دي مع كل دفعة،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69"/>
      <w:gridCol w:w="4278"/>
      <w:gridCol w:w="1320"/>
      <w:gridCol w:w="1709"/>
    </w:tblGrid>
    <w:tr w:rsidR="00B524A9" w14:paraId="3FC2F665" w14:textId="77777777" w:rsidTr="005B3758">
      <w:trPr>
        <w:trHeight w:val="1039"/>
      </w:trPr>
      <w:tc>
        <w:tcPr>
          <w:tcW w:w="296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60000" cy="662638"/>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88008" cy="68705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drawing>
              <wp:inline xmlns:a="http://schemas.openxmlformats.org/drawingml/2006/main" xmlns:pic="http://schemas.openxmlformats.org/drawingml/2006/picture">
                <wp:extent cx="700000" cy="700000"/>
                <wp:docPr id="38064678" name="Picture 38064678"/>
                <wp:cNvGraphicFramePr>
                  <a:graphicFrameLocks noChangeAspect="1"/>
                </wp:cNvGraphicFramePr>
                <a:graphic>
                  <a:graphicData uri="http://schemas.openxmlformats.org/drawingml/2006/picture">
                    <pic:pic>
                      <pic:nvPicPr>
                        <pic:cNvPr id="0" name="gots_hd_kare.png"/>
                        <pic:cNvPicPr/>
                      </pic:nvPicPr>
                      <pic:blipFill>
                        <a:blip r:embed="rId2"/>
                        <a:stretch>
                          <a:fillRect/>
                        </a:stretch>
                      </pic:blipFill>
                      <pic:spPr>
                        <a:xfrm>
                          <a:off x="0" y="0"/>
                          <a:ext cx="700000" cy="700000"/>
                        </a:xfrm>
                        <a:prstGeom prst="rect"/>
                      </pic:spPr>
                    </pic:pic>
                  </a:graphicData>
                </a:graphic>
              </wp:inline>
            </w:drawing>
          </w:r>
        </w:p>
      </w:tc>
      <w:tc>
        <w:tcPr>
          <w:tcW w:w="42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RAW MATERIAL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المواد الخام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