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area where GOTS-approved chemicals are stored apart from others, labelled and with SDS on file.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Chemical Storage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Officer: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GOTS-approved chemicals are stored separately; unapproved ones never enter.</w:t>
      </w:r>
    </w:p>
    <w:p>
      <w:pPr>
        <w:pStyle w:val="ListeParagraf"/>
        <w:spacing w:after="80"/>
        <w:ind w:left="709" w:right="0"/>
        <w:jc w:val="both"/>
      </w:pPr>
      <w:r>
        <w:rPr>
          <w:rFonts w:ascii="Calibri" w:hAnsi="Calibri" w:cs="Arial"/>
          <w:sz w:val="24"/>
          <w:szCs w:val="24"/>
        </w:rPr>
        <w:t xml:space="preserve">1.2. Every chemical has a label and a current SDS.</w:t>
      </w:r>
    </w:p>
    <w:p>
      <w:pPr>
        <w:pStyle w:val="ListeParagraf"/>
        <w:spacing w:after="80"/>
        <w:ind w:left="709" w:right="0"/>
        <w:jc w:val="both"/>
      </w:pPr>
      <w:r>
        <w:rPr>
          <w:rFonts w:ascii="Calibri" w:hAnsi="Calibri" w:cs="Arial"/>
          <w:sz w:val="24"/>
          <w:szCs w:val="24"/>
        </w:rPr>
        <w:t xml:space="preserve">1.3. The chemical inventory and approval (positive-list) status are kept current.</w:t>
      </w:r>
    </w:p>
    <w:p>
      <w:pPr>
        <w:pStyle w:val="ListeParagraf"/>
        <w:spacing w:after="80"/>
        <w:ind w:left="709" w:right="0"/>
        <w:jc w:val="both"/>
      </w:pPr>
      <w:r>
        <w:rPr>
          <w:rFonts w:ascii="Calibri" w:hAnsi="Calibri" w:cs="Arial"/>
          <w:sz w:val="24"/>
          <w:szCs w:val="24"/>
        </w:rPr>
        <w:t xml:space="preserve">1.4. Spill and emergency equipment is ready.</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Purchase request approved (GOTS conformance)</w:t>
      </w:r>
    </w:p>
    <w:p>
      <w:pPr>
        <w:pStyle w:val="ListeParagraf"/>
        <w:spacing w:after="80"/>
        <w:ind w:left="709" w:right="0"/>
        <w:jc w:val="both"/>
      </w:pPr>
      <w:r>
        <w:rPr>
          <w:rFonts w:ascii="Calibri" w:hAnsi="Calibri" w:cs="Arial"/>
          <w:sz w:val="24"/>
          <w:szCs w:val="24"/>
        </w:rPr>
        <w:t xml:space="preserve">2.2. Label, SDS and lot checked on delivery</w:t>
      </w:r>
    </w:p>
    <w:p>
      <w:pPr>
        <w:pStyle w:val="ListeParagraf"/>
        <w:spacing w:after="80"/>
        <w:ind w:left="709" w:right="0"/>
        <w:jc w:val="both"/>
      </w:pPr>
      <w:r>
        <w:rPr>
          <w:rFonts w:ascii="Calibri" w:hAnsi="Calibri" w:cs="Arial"/>
          <w:sz w:val="24"/>
          <w:szCs w:val="24"/>
        </w:rPr>
        <w:t xml:space="preserve">2.3. Stored in the segregated, ventilated area</w:t>
      </w:r>
    </w:p>
    <w:p>
      <w:pPr>
        <w:pStyle w:val="ListeParagraf"/>
        <w:spacing w:after="80"/>
        <w:ind w:left="709" w:right="0"/>
        <w:jc w:val="both"/>
      </w:pPr>
      <w:r>
        <w:rPr>
          <w:rFonts w:ascii="Calibri" w:hAnsi="Calibri" w:cs="Arial"/>
          <w:sz w:val="24"/>
          <w:szCs w:val="24"/>
        </w:rPr>
        <w:t xml:space="preserve">2.4. Issued to production with a record</w:t>
      </w:r>
    </w:p>
    <w:p>
      <w:pPr>
        <w:pStyle w:val="ListeParagraf"/>
        <w:spacing w:after="80"/>
        <w:ind w:left="709" w:right="0"/>
        <w:jc w:val="both"/>
      </w:pPr>
      <w:r>
        <w:rPr>
          <w:rFonts w:ascii="Calibri" w:hAnsi="Calibri" w:cs="Arial"/>
          <w:sz w:val="24"/>
          <w:szCs w:val="24"/>
        </w:rPr>
        <w:t xml:space="preserve">2.5. Inventory and consumption monitored</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Are all chemicals on the GOTS approved list?</w:t>
      </w:r>
    </w:p>
    <w:p>
      <w:pPr>
        <w:pStyle w:val="ListeParagraf"/>
        <w:spacing w:after="80"/>
        <w:ind w:left="709" w:right="0"/>
        <w:jc w:val="both"/>
      </w:pPr>
      <w:r>
        <w:rPr>
          <w:rFonts w:ascii="Calibri" w:hAnsi="Calibri" w:cs="Arial"/>
          <w:sz w:val="24"/>
          <w:szCs w:val="24"/>
        </w:rPr>
        <w:t xml:space="preserve">3.2. Are SDS and labels current?</w:t>
      </w:r>
    </w:p>
    <w:p>
      <w:pPr>
        <w:pStyle w:val="ListeParagraf"/>
        <w:spacing w:after="80"/>
        <w:ind w:left="709" w:right="0"/>
        <w:jc w:val="both"/>
      </w:pPr>
      <w:r>
        <w:rPr>
          <w:rFonts w:ascii="Calibri" w:hAnsi="Calibri" w:cs="Arial"/>
          <w:sz w:val="24"/>
          <w:szCs w:val="24"/>
        </w:rPr>
        <w:t xml:space="preserve">3.3. Is storage compliant with segregation rules?</w:t>
      </w:r>
    </w:p>
    <w:p>
      <w:pPr>
        <w:pStyle w:val="ListeParagraf"/>
        <w:spacing w:after="80"/>
        <w:ind w:left="709" w:right="0"/>
        <w:jc w:val="both"/>
      </w:pPr>
      <w:r>
        <w:rPr>
          <w:rFonts w:ascii="Calibri" w:hAnsi="Calibri" w:cs="Arial"/>
          <w:sz w:val="24"/>
          <w:szCs w:val="24"/>
        </w:rPr>
        <w:t xml:space="preserve">3.4. Are the spill kit and emergency plan ready?</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EMS.OR.FRM.21.20. Organic Chemical Receiving and Use Record</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Chemical Officer checks the application of this instruction every week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المنطقة اللي بتتخزن فيها المواد المعتمدة من GOTS بعيد عن غيرها ومتعلّمة ومعاها أوراق السلامة.</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تخزين المواد الكيميائية العضوية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المواد الكيميائية: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المواد المعتمدة من GOTS بتتخزن لوحدها وغير المعتمدة ما تدخلش.</w:t>
      </w:r>
    </w:p>
    <w:p>
      <w:pPr>
        <w:pStyle w:val="ListeParagraf"/>
        <w:bidi/>
        <w:spacing w:after="80"/>
        <w:ind w:left="0" w:right="709"/>
        <w:jc w:val="both"/>
      </w:pPr>
      <w:r>
        <w:rPr>
          <w:rFonts w:ascii="Calibri" w:hAnsi="Calibri" w:cs="Arial"/>
          <w:rtl/>
          <w:sz w:val="24"/>
          <w:szCs w:val="24"/>
        </w:rPr>
        <w:t xml:space="preserve">1.2. كل مادة عليها ملصق وصحيفة بيانات سلامة حديثة.</w:t>
      </w:r>
    </w:p>
    <w:p>
      <w:pPr>
        <w:pStyle w:val="ListeParagraf"/>
        <w:bidi/>
        <w:spacing w:after="80"/>
        <w:ind w:left="0" w:right="709"/>
        <w:jc w:val="both"/>
      </w:pPr>
      <w:r>
        <w:rPr>
          <w:rFonts w:ascii="Calibri" w:hAnsi="Calibri" w:cs="Arial"/>
          <w:rtl/>
          <w:sz w:val="24"/>
          <w:szCs w:val="24"/>
        </w:rPr>
        <w:t xml:space="preserve">1.3. جرد المواد وحالة الاعتماد (القائمة الإيجابية) بيتحدثوا.</w:t>
      </w:r>
    </w:p>
    <w:p>
      <w:pPr>
        <w:pStyle w:val="ListeParagraf"/>
        <w:bidi/>
        <w:spacing w:after="80"/>
        <w:ind w:left="0" w:right="709"/>
        <w:jc w:val="both"/>
      </w:pPr>
      <w:r>
        <w:rPr>
          <w:rFonts w:ascii="Calibri" w:hAnsi="Calibri" w:cs="Arial"/>
          <w:rtl/>
          <w:sz w:val="24"/>
          <w:szCs w:val="24"/>
        </w:rPr>
        <w:t xml:space="preserve">1.4. معدات الانسكاب والطوارئ جاهزة.</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اعتماد طلب الشراء (مطابقة GOTS)</w:t>
      </w:r>
    </w:p>
    <w:p>
      <w:pPr>
        <w:pStyle w:val="ListeParagraf"/>
        <w:bidi/>
        <w:spacing w:after="80"/>
        <w:ind w:left="0" w:right="709"/>
        <w:jc w:val="both"/>
      </w:pPr>
      <w:r>
        <w:rPr>
          <w:rFonts w:ascii="Calibri" w:hAnsi="Calibri" w:cs="Arial"/>
          <w:rtl/>
          <w:sz w:val="24"/>
          <w:szCs w:val="24"/>
        </w:rPr>
        <w:t xml:space="preserve">2.2. مراجعة الملصق وSDS والدفعة عند الاستلام</w:t>
      </w:r>
    </w:p>
    <w:p>
      <w:pPr>
        <w:pStyle w:val="ListeParagraf"/>
        <w:bidi/>
        <w:spacing w:after="80"/>
        <w:ind w:left="0" w:right="709"/>
        <w:jc w:val="both"/>
      </w:pPr>
      <w:r>
        <w:rPr>
          <w:rFonts w:ascii="Calibri" w:hAnsi="Calibri" w:cs="Arial"/>
          <w:rtl/>
          <w:sz w:val="24"/>
          <w:szCs w:val="24"/>
        </w:rPr>
        <w:t xml:space="preserve">2.3. التخزين في منطقة منفصلة وتهويتها كويسة</w:t>
      </w:r>
    </w:p>
    <w:p>
      <w:pPr>
        <w:pStyle w:val="ListeParagraf"/>
        <w:bidi/>
        <w:spacing w:after="80"/>
        <w:ind w:left="0" w:right="709"/>
        <w:jc w:val="both"/>
      </w:pPr>
      <w:r>
        <w:rPr>
          <w:rFonts w:ascii="Calibri" w:hAnsi="Calibri" w:cs="Arial"/>
          <w:rtl/>
          <w:sz w:val="24"/>
          <w:szCs w:val="24"/>
        </w:rPr>
        <w:t xml:space="preserve">2.4. الصرف للإنتاج مع التسجيل</w:t>
      </w:r>
    </w:p>
    <w:p>
      <w:pPr>
        <w:pStyle w:val="ListeParagraf"/>
        <w:bidi/>
        <w:spacing w:after="80"/>
        <w:ind w:left="0" w:right="709"/>
        <w:jc w:val="both"/>
      </w:pPr>
      <w:r>
        <w:rPr>
          <w:rFonts w:ascii="Calibri" w:hAnsi="Calibri" w:cs="Arial"/>
          <w:rtl/>
          <w:sz w:val="24"/>
          <w:szCs w:val="24"/>
        </w:rPr>
        <w:t xml:space="preserve">2.5. متابعة الجرد والاستهلاك</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كل المواد في قائمة GOTS المعتمدة؟</w:t>
      </w:r>
    </w:p>
    <w:p>
      <w:pPr>
        <w:pStyle w:val="ListeParagraf"/>
        <w:bidi/>
        <w:spacing w:after="80"/>
        <w:ind w:left="0" w:right="709"/>
        <w:jc w:val="both"/>
      </w:pPr>
      <w:r>
        <w:rPr>
          <w:rFonts w:ascii="Calibri" w:hAnsi="Calibri" w:cs="Arial"/>
          <w:rtl/>
          <w:sz w:val="24"/>
          <w:szCs w:val="24"/>
        </w:rPr>
        <w:t xml:space="preserve">3.2. أوراق السلامة والملصقات حديثة؟</w:t>
      </w:r>
    </w:p>
    <w:p>
      <w:pPr>
        <w:pStyle w:val="ListeParagraf"/>
        <w:bidi/>
        <w:spacing w:after="80"/>
        <w:ind w:left="0" w:right="709"/>
        <w:jc w:val="both"/>
      </w:pPr>
      <w:r>
        <w:rPr>
          <w:rFonts w:ascii="Calibri" w:hAnsi="Calibri" w:cs="Arial"/>
          <w:rtl/>
          <w:sz w:val="24"/>
          <w:szCs w:val="24"/>
        </w:rPr>
        <w:t xml:space="preserve">3.3. التخزين ملتزم بقواعد الفصل؟</w:t>
      </w:r>
    </w:p>
    <w:p>
      <w:pPr>
        <w:pStyle w:val="ListeParagraf"/>
        <w:bidi/>
        <w:spacing w:after="80"/>
        <w:ind w:left="0" w:right="709"/>
        <w:jc w:val="both"/>
      </w:pPr>
      <w:r>
        <w:rPr>
          <w:rFonts w:ascii="Calibri" w:hAnsi="Calibri" w:cs="Arial"/>
          <w:rtl/>
          <w:sz w:val="24"/>
          <w:szCs w:val="24"/>
        </w:rPr>
        <w:t xml:space="preserve">3.4. طقم الانسكاب وخطة الطوارئ جاهزين؟</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EMS.OR.FRM.21.20. سجل استلام واستخدام المواد الكيميائية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مسؤول المواد الكيميائية بيتحقق من تطبيق التعليمات دي كل أسبوع،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69"/>
      <w:gridCol w:w="4278"/>
      <w:gridCol w:w="1320"/>
      <w:gridCol w:w="1709"/>
    </w:tblGrid>
    <w:tr w:rsidR="00B524A9" w14:paraId="3FC2F665" w14:textId="77777777" w:rsidTr="005B3758">
      <w:trPr>
        <w:trHeight w:val="1039"/>
      </w:trPr>
      <w:tc>
        <w:tcPr>
          <w:tcW w:w="296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60000" cy="662638"/>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88008" cy="68705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drawing>
              <wp:inline xmlns:a="http://schemas.openxmlformats.org/drawingml/2006/main" xmlns:pic="http://schemas.openxmlformats.org/drawingml/2006/picture">
                <wp:extent cx="700000" cy="700000"/>
                <wp:docPr id="38064678" name="Picture 38064678"/>
                <wp:cNvGraphicFramePr>
                  <a:graphicFrameLocks noChangeAspect="1"/>
                </wp:cNvGraphicFramePr>
                <a:graphic>
                  <a:graphicData uri="http://schemas.openxmlformats.org/drawingml/2006/picture">
                    <pic:pic>
                      <pic:nvPicPr>
                        <pic:cNvPr id="0" name="gots_hd_kare.png"/>
                        <pic:cNvPicPr/>
                      </pic:nvPicPr>
                      <pic:blipFill>
                        <a:blip r:embed="rId2"/>
                        <a:stretch>
                          <a:fillRect/>
                        </a:stretch>
                      </pic:blipFill>
                      <pic:spPr>
                        <a:xfrm>
                          <a:off x="0" y="0"/>
                          <a:ext cx="700000" cy="700000"/>
                        </a:xfrm>
                        <a:prstGeom prst="rect"/>
                      </pic:spPr>
                    </pic:pic>
                  </a:graphicData>
                </a:graphic>
              </wp:inline>
            </w:drawing>
          </w:r>
        </w:p>
      </w:tc>
      <w:tc>
        <w:tcPr>
          <w:tcW w:w="42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CHEMICAL STORAGE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تخزين المواد الكيميائية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