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The purpose of this procedure is to establish a structured Environmental Management System (EMS) at Eroglu Knitting (EMS) to control, monitor and continuously improve the environmental performance of the facility.</w:t>
      </w:r>
    </w:p>
    <w:p>
      <w:pPr>
        <w:pStyle w:val="ListeParagraf"/>
        <w:spacing w:after="80"/>
        <w:ind w:left="709" w:right="0"/>
        <w:jc w:val="both"/>
      </w:pPr>
      <w:r>
        <w:rPr>
          <w:rFonts w:ascii="Calibri" w:hAnsi="Calibri" w:cs="Arial"/>
          <w:sz w:val="24"/>
          <w:szCs w:val="24"/>
        </w:rPr>
        <w:t xml:space="preserve">This procedure ensures: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Compliance with applicable local environmental regulations and international standards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Prevention of environmental pollution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Efficient use of natural resources such as water and energy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Responsible chemical management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Proper management of wastewater, emissions and waste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Continuous environmental performance improvement</w:t>
      </w:r>
    </w:p>
    <w:p>
      <w:pPr>
        <w:pStyle w:val="ListeParagraf"/>
        <w:spacing w:after="80"/>
        <w:ind w:left="709" w:right="0"/>
        <w:jc w:val="both"/>
      </w:pPr>
      <w:r>
        <w:rPr>
          <w:rFonts w:ascii="Calibri" w:hAnsi="Calibri" w:cs="Arial"/>
          <w:sz w:val="24"/>
          <w:szCs w:val="24"/>
        </w:rPr>
        <w:t xml:space="preserve">The EMS is aligned with internationally recognized frameworks such as: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ISO 14001</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Zero Discharge of Hazardous Chemicals (ZDHC) Foundation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Higg Facility Environmental Module (FEM)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Global Organic Textile Standard (GOTS)</w:t>
      </w:r>
    </w:p>
    <w:p>
      <w:pPr>
        <w:pStyle w:val="ListeParagraf"/>
        <w:spacing w:before="120" w:after="60"/>
        <w:ind w:left="709" w:right="0"/>
      </w:pPr>
      <w:r>
        <w:rPr>
          <w:rFonts w:ascii="Calibri" w:hAnsi="Calibri" w:cs="Arial"/>
          <w:b/>
          <w:bCs/>
          <w:sz w:val="24"/>
          <w:szCs w:val="24"/>
        </w:rPr>
        <w:t xml:space="preserve">2. SCOPE</w:t>
      </w:r>
    </w:p>
    <w:p>
      <w:pPr>
        <w:pStyle w:val="ListeParagraf"/>
        <w:spacing w:after="80"/>
        <w:ind w:left="709" w:right="0"/>
        <w:jc w:val="both"/>
      </w:pPr>
      <w:r>
        <w:rPr>
          <w:rFonts w:ascii="Calibri" w:hAnsi="Calibri" w:cs="Arial"/>
          <w:sz w:val="24"/>
          <w:szCs w:val="24"/>
        </w:rPr>
        <w:t xml:space="preserve">This SOP applies to all operations and activities within the facility, including: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processes: </w:t>
      </w:r>
      <w:r>
        <w:rPr>
          <w:rFonts w:ascii="Calibri" w:hAnsi="Calibri" w:cs="Arial"/>
          <w:sz w:val="24"/>
          <w:szCs w:val="24"/>
        </w:rPr>
        <w:t xml:space="preserve">spinning, knitting, dyeing and finishing, cutting, printing, sewing, etc.</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Supporting operations: </w:t>
      </w:r>
      <w:r>
        <w:rPr>
          <w:rFonts w:ascii="Calibri" w:hAnsi="Calibri" w:cs="Arial"/>
          <w:sz w:val="24"/>
          <w:szCs w:val="24"/>
        </w:rPr>
        <w:t xml:space="preserve">Effluent Treatment Plant, boiler operations, compressors and utilities, maintenance workshops, warehouses and chemical storage areas, laboratories and quality control departments, etc.</w:t>
      </w:r>
    </w:p>
    <w:p>
      <w:pPr>
        <w:pStyle w:val="ListeParagraf"/>
        <w:spacing w:after="80"/>
        <w:ind w:left="709" w:right="0"/>
        <w:jc w:val="both"/>
      </w:pPr>
      <w:r>
        <w:rPr>
          <w:rFonts w:ascii="Calibri" w:hAnsi="Calibri" w:cs="Arial"/>
          <w:sz w:val="24"/>
          <w:szCs w:val="24"/>
        </w:rPr>
        <w:t xml:space="preserve">The SOP also applies to employees, contractors and suppliers operating within the facility.</w:t>
      </w:r>
    </w:p>
    <w:p>
      <w:pPr>
        <w:pStyle w:val="ListeParagraf"/>
        <w:spacing w:before="120" w:after="60"/>
        <w:ind w:left="709" w:right="0"/>
      </w:pPr>
      <w:r>
        <w:rPr>
          <w:rFonts w:ascii="Calibri" w:hAnsi="Calibri" w:cs="Arial"/>
          <w:b/>
          <w:bCs/>
          <w:sz w:val="24"/>
          <w:szCs w:val="24"/>
        </w:rPr>
        <w:t xml:space="preserve">3. ENVIRONMENTAL POLICY PRINCIPLES</w:t>
      </w:r>
    </w:p>
    <w:p>
      <w:pPr>
        <w:pStyle w:val="ListeParagraf"/>
        <w:spacing w:after="80"/>
        <w:ind w:left="709" w:right="0"/>
        <w:jc w:val="both"/>
      </w:pPr>
      <w:r>
        <w:rPr>
          <w:rFonts w:ascii="Calibri" w:hAnsi="Calibri" w:cs="Arial"/>
          <w:sz w:val="24"/>
          <w:szCs w:val="24"/>
        </w:rPr>
        <w:t xml:space="preserve">The facility commits to the following environmental principles: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Compliance with environmental laws and regulations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Prevention of environmental pollution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Efficient resource utilization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Safe chemical management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Reduction of greenhouse gas emissions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Continuous improvement of environmental performance</w:t>
      </w:r>
    </w:p>
    <w:p>
      <w:pPr>
        <w:pStyle w:val="ListeParagraf"/>
        <w:spacing w:before="120" w:after="60"/>
        <w:ind w:left="709" w:right="0"/>
      </w:pPr>
      <w:r>
        <w:rPr>
          <w:rFonts w:ascii="Calibri" w:hAnsi="Calibri" w:cs="Arial"/>
          <w:b/>
          <w:bCs/>
          <w:sz w:val="24"/>
          <w:szCs w:val="24"/>
        </w:rPr>
        <w:t xml:space="preserve">4. ROLES AND 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HSE Manager: </w:t>
      </w:r>
      <w:r>
        <w:rPr>
          <w:rFonts w:ascii="Calibri" w:hAnsi="Calibri" w:cs="Arial"/>
          <w:sz w:val="24"/>
          <w:szCs w:val="24"/>
        </w:rPr>
        <w:t xml:space="preserve">Implementing and maintaining the Environmental Management System, identifying environmental aspects and impacts, monitoring environmental compliance, preparing environmental performance reports and coordinating with regulatory authorities.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Sustainability Officer: </w:t>
      </w:r>
      <w:r>
        <w:rPr>
          <w:rFonts w:ascii="Calibri" w:hAnsi="Calibri" w:cs="Arial"/>
          <w:sz w:val="24"/>
          <w:szCs w:val="24"/>
        </w:rPr>
        <w:t xml:space="preserve">Tracking environmental performance indicators, preparing sustainability reports and monitoring environmental data and improvement initiatives.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Chemical Management Team: </w:t>
      </w:r>
      <w:r>
        <w:rPr>
          <w:rFonts w:ascii="Calibri" w:hAnsi="Calibri" w:cs="Arial"/>
          <w:sz w:val="24"/>
          <w:szCs w:val="24"/>
        </w:rPr>
        <w:t xml:space="preserve">Chemical approval and evaluation, maintaining the chemical inventory, ensuring compliance with MRSL and RSL requirements and reviewing Safety Data Sheets (SDS).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ETP Supervisor: </w:t>
      </w:r>
      <w:r>
        <w:rPr>
          <w:rFonts w:ascii="Calibri" w:hAnsi="Calibri" w:cs="Arial"/>
          <w:sz w:val="24"/>
          <w:szCs w:val="24"/>
        </w:rPr>
        <w:t xml:space="preserve">Operating the Effluent Treatment Plant, monitoring wastewater quality parameters and maintaining operational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Managers: </w:t>
      </w:r>
      <w:r>
        <w:rPr>
          <w:rFonts w:ascii="Calibri" w:hAnsi="Calibri" w:cs="Arial"/>
          <w:sz w:val="24"/>
          <w:szCs w:val="24"/>
        </w:rPr>
        <w:t xml:space="preserve">Implementing pollution prevention measures and optimizing resource consumption in production processes.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Department: </w:t>
      </w:r>
      <w:r>
        <w:rPr>
          <w:rFonts w:ascii="Calibri" w:hAnsi="Calibri" w:cs="Arial"/>
          <w:sz w:val="24"/>
          <w:szCs w:val="24"/>
        </w:rPr>
        <w:t xml:space="preserve">Maintenance of environmental control systems, maintenance of wastewater treatment equipment and preventive maintenance of utilities.</w:t>
      </w:r>
    </w:p>
    <w:p>
      <w:pPr>
        <w:pStyle w:val="ListeParagraf"/>
        <w:spacing w:before="120" w:after="60"/>
        <w:ind w:left="709" w:right="0"/>
      </w:pPr>
      <w:r>
        <w:rPr>
          <w:rFonts w:ascii="Calibri" w:hAnsi="Calibri" w:cs="Arial"/>
          <w:b/>
          <w:bCs/>
          <w:sz w:val="24"/>
          <w:szCs w:val="24"/>
        </w:rPr>
        <w:t xml:space="preserve">5. ENVIRONMENTAL ASPECT AND IMPACT ASSESSMENT</w:t>
      </w:r>
    </w:p>
    <w:p>
      <w:pPr>
        <w:pStyle w:val="ListeParagraf"/>
        <w:spacing w:after="80"/>
        <w:ind w:left="709" w:right="0"/>
        <w:jc w:val="both"/>
      </w:pPr>
      <w:r>
        <w:rPr>
          <w:rFonts w:ascii="Calibri" w:hAnsi="Calibri" w:cs="Arial"/>
          <w:sz w:val="24"/>
          <w:szCs w:val="24"/>
        </w:rPr>
        <w:t xml:space="preserve">Environmental aspects are identified for all activities and evaluated based on severity, frequency and environmental impact.</w:t>
      </w:r>
    </w:p>
    <w:p>
      <w:pPr>
        <w:pStyle w:val="ListeParagraf"/>
        <w:spacing w:after="80"/>
        <w:ind w:left="709" w:right="0"/>
        <w:jc w:val="both"/>
      </w:pPr>
      <w:r>
        <w:rPr>
          <w:rFonts w:ascii="Calibri" w:hAnsi="Calibri" w:cs="Arial"/>
          <w:sz w:val="24"/>
          <w:szCs w:val="24"/>
        </w:rPr>
        <w:t xml:space="preserve">Example assessment: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Dyeing process: </w:t>
      </w:r>
      <w:r>
        <w:rPr>
          <w:rFonts w:ascii="Calibri" w:hAnsi="Calibri" w:cs="Arial"/>
          <w:sz w:val="24"/>
          <w:szCs w:val="24"/>
        </w:rPr>
        <w:t xml:space="preserve">Environmental aspect: high water consumption; Environmental impact: resource depletion; Risk level: High</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Boiler operation: </w:t>
      </w:r>
      <w:r>
        <w:rPr>
          <w:rFonts w:ascii="Calibri" w:hAnsi="Calibri" w:cs="Arial"/>
          <w:sz w:val="24"/>
          <w:szCs w:val="24"/>
        </w:rPr>
        <w:t xml:space="preserve">Environmental aspect: air emissions; Environmental impact: air pollution; Risk level: Medium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Fabric cutting: </w:t>
      </w:r>
      <w:r>
        <w:rPr>
          <w:rFonts w:ascii="Calibri" w:hAnsi="Calibri" w:cs="Arial"/>
          <w:sz w:val="24"/>
          <w:szCs w:val="24"/>
        </w:rPr>
        <w:t xml:space="preserve">Environmental aspect: textile waste generation; Environmental impact: increased landfill waste; Risk level: Low</w:t>
      </w:r>
    </w:p>
    <w:p>
      <w:pPr>
        <w:pStyle w:val="ListeParagraf"/>
        <w:spacing w:after="80"/>
        <w:ind w:left="709" w:right="0"/>
        <w:jc w:val="both"/>
      </w:pPr>
      <w:r>
        <w:rPr>
          <w:rFonts w:ascii="Calibri" w:hAnsi="Calibri" w:cs="Arial"/>
          <w:sz w:val="24"/>
          <w:szCs w:val="24"/>
        </w:rPr>
        <w:t xml:space="preserve">The assessment is reviewed annually or when process changes occur.</w:t>
      </w:r>
    </w:p>
    <w:p>
      <w:pPr>
        <w:pStyle w:val="ListeParagraf"/>
        <w:spacing w:before="120" w:after="60"/>
        <w:ind w:left="709" w:right="0"/>
      </w:pPr>
      <w:r>
        <w:rPr>
          <w:rFonts w:ascii="Calibri" w:hAnsi="Calibri" w:cs="Arial"/>
          <w:b/>
          <w:bCs/>
          <w:sz w:val="24"/>
          <w:szCs w:val="24"/>
        </w:rPr>
        <w:t xml:space="preserve">6. WATER MANAGEMENT PROGRAM</w:t>
      </w:r>
    </w:p>
    <w:p>
      <w:pPr>
        <w:pStyle w:val="ListeParagraf"/>
        <w:spacing w:before="80" w:after="40"/>
        <w:ind w:left="709" w:right="0"/>
      </w:pPr>
      <w:r>
        <w:rPr>
          <w:rFonts w:ascii="Calibri" w:hAnsi="Calibri" w:cs="Arial"/>
          <w:b/>
          <w:bCs/>
          <w:sz w:val="24"/>
          <w:szCs w:val="24"/>
        </w:rPr>
        <w:t xml:space="preserve">6.1 Objectives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Reduce water consumption by at least 20%.</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Achieve a water reuse rate of 65%.</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Daily monitoring and an annual water balance.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Improve water efficiency across operations.</w:t>
      </w:r>
    </w:p>
    <w:p>
      <w:pPr>
        <w:pStyle w:val="ListeParagraf"/>
        <w:spacing w:before="80" w:after="40"/>
        <w:ind w:left="709" w:right="0"/>
      </w:pPr>
      <w:r>
        <w:rPr>
          <w:rFonts w:ascii="Calibri" w:hAnsi="Calibri" w:cs="Arial"/>
          <w:b/>
          <w:bCs/>
          <w:sz w:val="24"/>
          <w:szCs w:val="24"/>
        </w:rPr>
        <w:t xml:space="preserve">6.2 Control Measures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Installation of water meters in all major departments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Daily monitoring of water consumption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Monthly analysis of water usage trends</w:t>
      </w:r>
    </w:p>
    <w:p>
      <w:pPr>
        <w:pStyle w:val="ListeParagraf"/>
        <w:spacing w:before="80" w:after="40"/>
        <w:ind w:left="709" w:right="0"/>
      </w:pPr>
      <w:r>
        <w:rPr>
          <w:rFonts w:ascii="Calibri" w:hAnsi="Calibri" w:cs="Arial"/>
          <w:b/>
          <w:bCs/>
          <w:sz w:val="24"/>
          <w:szCs w:val="24"/>
        </w:rPr>
        <w:t xml:space="preserve">6.3 Water Reuse</w:t>
      </w:r>
    </w:p>
    <w:p>
      <w:pPr>
        <w:pStyle w:val="ListeParagraf"/>
        <w:spacing w:after="80"/>
        <w:ind w:left="709" w:right="0"/>
        <w:jc w:val="both"/>
      </w:pPr>
      <w:r>
        <w:rPr>
          <w:rFonts w:ascii="Calibri" w:hAnsi="Calibri" w:cs="Arial"/>
          <w:sz w:val="24"/>
          <w:szCs w:val="24"/>
        </w:rPr>
        <w:t xml:space="preserve">Treated wastewater will be reused for: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Dyeing and finishing processes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Cleaning operations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Cooling systems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Landscaping and irrigation where applicable</w:t>
      </w:r>
    </w:p>
    <w:p>
      <w:pPr>
        <w:pStyle w:val="ListeParagraf"/>
        <w:spacing w:before="120" w:after="60"/>
        <w:ind w:left="709" w:right="0"/>
      </w:pPr>
      <w:r>
        <w:rPr>
          <w:rFonts w:ascii="Calibri" w:hAnsi="Calibri" w:cs="Arial"/>
          <w:b/>
          <w:bCs/>
          <w:sz w:val="24"/>
          <w:szCs w:val="24"/>
        </w:rPr>
        <w:t xml:space="preserve">7. CHEMICAL MANAGEMENT SYSTEM</w:t>
      </w:r>
    </w:p>
    <w:p>
      <w:pPr>
        <w:pStyle w:val="ListeParagraf"/>
        <w:spacing w:after="80"/>
        <w:ind w:left="709" w:right="0"/>
        <w:jc w:val="both"/>
      </w:pPr>
      <w:r>
        <w:rPr>
          <w:rFonts w:ascii="Calibri" w:hAnsi="Calibri" w:cs="Arial"/>
          <w:sz w:val="24"/>
          <w:szCs w:val="24"/>
        </w:rPr>
        <w:t xml:space="preserve">The facility maintains a comprehensive chemical management system aligned with:</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ZDHC MRSL (Zero Discharge of Hazardous Chemicals Foundation)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GHS (Globally Harmonized System of Classification and Labelling of Chemicals)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LOT traceability system</w:t>
      </w:r>
    </w:p>
    <w:p>
      <w:pPr>
        <w:pStyle w:val="ListeParagraf"/>
        <w:spacing w:before="80" w:after="40"/>
        <w:ind w:left="709" w:right="0"/>
      </w:pPr>
      <w:r>
        <w:rPr>
          <w:rFonts w:ascii="Calibri" w:hAnsi="Calibri" w:cs="Arial"/>
          <w:b/>
          <w:bCs/>
          <w:sz w:val="24"/>
          <w:szCs w:val="24"/>
        </w:rPr>
        <w:t xml:space="preserve">7.1 Requirements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Chemical approval before procurement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Availability of Safety Data Sheets (SDS), Technical Data Sheets (TDS) and approval certificates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Proper chemical labeling according to GHS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Segregated storage of incompatible chemicals</w:t>
      </w:r>
    </w:p>
    <w:p>
      <w:pPr>
        <w:pStyle w:val="ListeParagraf"/>
        <w:spacing w:before="120" w:after="60"/>
        <w:ind w:left="709" w:right="0"/>
      </w:pPr>
      <w:r>
        <w:rPr>
          <w:rFonts w:ascii="Calibri" w:hAnsi="Calibri" w:cs="Arial"/>
          <w:b/>
          <w:bCs/>
          <w:sz w:val="24"/>
          <w:szCs w:val="24"/>
        </w:rPr>
        <w:t xml:space="preserve">8. WASTEWATER MANAGEMENT</w:t>
      </w:r>
    </w:p>
    <w:p>
      <w:pPr>
        <w:pStyle w:val="ListeParagraf"/>
        <w:spacing w:after="80"/>
        <w:ind w:left="709" w:right="0"/>
        <w:jc w:val="both"/>
      </w:pPr>
      <w:r>
        <w:rPr>
          <w:rFonts w:ascii="Calibri" w:hAnsi="Calibri" w:cs="Arial"/>
          <w:sz w:val="24"/>
          <w:szCs w:val="24"/>
        </w:rPr>
        <w:t xml:space="preserve">All industrial wastewater generated from production processes is treated in the Effluent Treatment Plant (ETP) before discharge or reuse. The ETP is operated with full monitoring, monthly testing and ZDHC Gateway reporting.</w:t>
      </w:r>
    </w:p>
    <w:p>
      <w:pPr>
        <w:pStyle w:val="ListeParagraf"/>
        <w:spacing w:before="80" w:after="40"/>
        <w:ind w:left="709" w:right="0"/>
      </w:pPr>
      <w:r>
        <w:rPr>
          <w:rFonts w:ascii="Calibri" w:hAnsi="Calibri" w:cs="Arial"/>
          <w:b/>
          <w:bCs/>
          <w:sz w:val="24"/>
          <w:szCs w:val="24"/>
        </w:rPr>
        <w:t xml:space="preserve">8.1 Typical Treatment Stages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Equalization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pH neutralization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Coagulation and flocculation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Primary sedimentation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Biological treatment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Filtration and polishing</w:t>
      </w:r>
    </w:p>
    <w:p>
      <w:pPr>
        <w:pStyle w:val="ListeParagraf"/>
        <w:spacing w:before="80" w:after="40"/>
        <w:ind w:left="709" w:right="0"/>
      </w:pPr>
      <w:r>
        <w:rPr>
          <w:rFonts w:ascii="Calibri" w:hAnsi="Calibri" w:cs="Arial"/>
          <w:b/>
          <w:bCs/>
          <w:sz w:val="24"/>
          <w:szCs w:val="24"/>
        </w:rPr>
        <w:t xml:space="preserve">8.2 Monitoring Parameters</w:t>
      </w:r>
    </w:p>
    <w:p>
      <w:pPr>
        <w:pStyle w:val="ListeParagraf"/>
        <w:spacing w:after="80"/>
        <w:ind w:left="709" w:right="0"/>
        <w:jc w:val="both"/>
      </w:pPr>
      <w:r>
        <w:rPr>
          <w:rFonts w:ascii="Calibri" w:hAnsi="Calibri" w:cs="Arial"/>
          <w:sz w:val="24"/>
          <w:szCs w:val="24"/>
        </w:rPr>
        <w:t xml:space="preserve">The following parameters are monitored regularly: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pH</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Chemical Oxygen Demand (COD)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Biological Oxygen Demand (BOD)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Total Suspended Solids (TSS)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Color</w:t>
      </w:r>
    </w:p>
    <w:p>
      <w:pPr>
        <w:pStyle w:val="ListeParagraf"/>
        <w:spacing w:after="80"/>
        <w:ind w:left="709" w:right="0"/>
        <w:jc w:val="both"/>
      </w:pPr>
      <w:r>
        <w:rPr>
          <w:rFonts w:ascii="Calibri" w:hAnsi="Calibri" w:cs="Arial"/>
          <w:sz w:val="24"/>
          <w:szCs w:val="24"/>
        </w:rPr>
        <w:t xml:space="preserve">Monitoring is conducted according to regulatory and international guidelines.</w:t>
      </w:r>
    </w:p>
    <w:p>
      <w:pPr>
        <w:pStyle w:val="ListeParagraf"/>
        <w:spacing w:before="120" w:after="60"/>
        <w:ind w:left="709" w:right="0"/>
      </w:pPr>
      <w:r>
        <w:rPr>
          <w:rFonts w:ascii="Calibri" w:hAnsi="Calibri" w:cs="Arial"/>
          <w:b/>
          <w:bCs/>
          <w:sz w:val="24"/>
          <w:szCs w:val="24"/>
        </w:rPr>
        <w:t xml:space="preserve">9. AIR EMISSION CONTROL</w:t>
      </w:r>
    </w:p>
    <w:p>
      <w:pPr>
        <w:pStyle w:val="ListeParagraf"/>
        <w:spacing w:after="80"/>
        <w:ind w:left="709" w:right="0"/>
        <w:jc w:val="both"/>
      </w:pPr>
      <w:r>
        <w:rPr>
          <w:rFonts w:ascii="Calibri" w:hAnsi="Calibri" w:cs="Arial"/>
          <w:sz w:val="24"/>
          <w:szCs w:val="24"/>
        </w:rPr>
        <w:t xml:space="preserve">Major sources of air emissions include: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Steam boilers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Diesel generators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Thermal processes</w:t>
      </w:r>
    </w:p>
    <w:p>
      <w:pPr>
        <w:pStyle w:val="ListeParagraf"/>
        <w:spacing w:before="80" w:after="40"/>
        <w:ind w:left="709" w:right="0"/>
      </w:pPr>
      <w:r>
        <w:rPr>
          <w:rFonts w:ascii="Calibri" w:hAnsi="Calibri" w:cs="Arial"/>
          <w:b/>
          <w:bCs/>
          <w:sz w:val="24"/>
          <w:szCs w:val="24"/>
        </w:rPr>
        <w:t xml:space="preserve">9.1 Control Measures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Use of low-sulfur fuels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Installation of emission control systems where required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Periodic emission monitoring, including VOCs, CO2, NOx, SOx, PM, etc.</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Installation of stack sampling points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Preventive maintenance of combustion equipment</w:t>
      </w:r>
    </w:p>
    <w:p>
      <w:pPr>
        <w:pStyle w:val="ListeParagraf"/>
        <w:spacing w:before="120" w:after="60"/>
        <w:ind w:left="709" w:right="0"/>
      </w:pPr>
      <w:r>
        <w:rPr>
          <w:rFonts w:ascii="Calibri" w:hAnsi="Calibri" w:cs="Arial"/>
          <w:b/>
          <w:bCs/>
          <w:sz w:val="24"/>
          <w:szCs w:val="24"/>
        </w:rPr>
        <w:t xml:space="preserve">10. SOLID WASTE MANAGEMENT</w:t>
      </w:r>
    </w:p>
    <w:p>
      <w:pPr>
        <w:pStyle w:val="ListeParagraf"/>
        <w:spacing w:before="80" w:after="40"/>
        <w:ind w:left="709" w:right="0"/>
      </w:pPr>
      <w:r>
        <w:rPr>
          <w:rFonts w:ascii="Calibri" w:hAnsi="Calibri" w:cs="Arial"/>
          <w:b/>
          <w:bCs/>
          <w:sz w:val="24"/>
          <w:szCs w:val="24"/>
        </w:rPr>
        <w:t xml:space="preserve">10.1 Waste Categories</w:t>
      </w:r>
    </w:p>
    <w:p>
      <w:pPr>
        <w:pStyle w:val="ListeParagraf"/>
        <w:spacing w:after="80"/>
        <w:ind w:left="709" w:right="0"/>
        <w:jc w:val="both"/>
      </w:pPr>
      <w:r>
        <w:rPr>
          <w:rFonts w:ascii="Calibri" w:hAnsi="Calibri" w:cs="Arial"/>
          <w:sz w:val="24"/>
          <w:szCs w:val="24"/>
        </w:rPr>
        <w:t xml:space="preserve">Non-hazardous waste (segregation and safe disposal):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Fabric scraps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Cardboard and packaging materials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Plastic waste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Food waste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Office waste</w:t>
      </w:r>
    </w:p>
    <w:p>
      <w:pPr>
        <w:pStyle w:val="ListeParagraf"/>
        <w:spacing w:after="80"/>
        <w:ind w:left="709" w:right="0"/>
        <w:jc w:val="both"/>
      </w:pPr>
      <w:r>
        <w:rPr>
          <w:rFonts w:ascii="Calibri" w:hAnsi="Calibri" w:cs="Arial"/>
          <w:sz w:val="24"/>
          <w:szCs w:val="24"/>
        </w:rPr>
        <w:t xml:space="preserve">Hazardous waste (hazardous waste control):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Chemical containers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Used oils and lubricants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ETP sludge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Contaminated materials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Waste ink cartridges</w:t>
      </w:r>
    </w:p>
    <w:p>
      <w:pPr>
        <w:pStyle w:val="ListeParagraf"/>
        <w:spacing w:before="80" w:after="40"/>
        <w:ind w:left="709" w:right="0"/>
      </w:pPr>
      <w:r>
        <w:rPr>
          <w:rFonts w:ascii="Calibri" w:hAnsi="Calibri" w:cs="Arial"/>
          <w:b/>
          <w:bCs/>
          <w:sz w:val="24"/>
          <w:szCs w:val="24"/>
        </w:rPr>
        <w:t xml:space="preserve">10.2 Waste Management Procedures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Segregation at the source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Proper labeling and storage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Disposal through licensed waste management contractors</w:t>
      </w:r>
    </w:p>
    <w:p>
      <w:pPr>
        <w:pStyle w:val="ListeParagraf"/>
        <w:spacing w:before="120" w:after="60"/>
        <w:ind w:left="709" w:right="0"/>
      </w:pPr>
      <w:r>
        <w:rPr>
          <w:rFonts w:ascii="Calibri" w:hAnsi="Calibri" w:cs="Arial"/>
          <w:b/>
          <w:bCs/>
          <w:sz w:val="24"/>
          <w:szCs w:val="24"/>
        </w:rPr>
        <w:t xml:space="preserve">11. ENERGY MANAGEMENT</w:t>
      </w:r>
    </w:p>
    <w:p>
      <w:pPr>
        <w:pStyle w:val="ListeParagraf"/>
        <w:spacing w:after="80"/>
        <w:ind w:left="709" w:right="0"/>
        <w:jc w:val="both"/>
      </w:pPr>
      <w:r>
        <w:rPr>
          <w:rFonts w:ascii="Calibri" w:hAnsi="Calibri" w:cs="Arial"/>
          <w:sz w:val="24"/>
          <w:szCs w:val="24"/>
        </w:rPr>
        <w:t xml:space="preserve">Energy efficiency initiatives include: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Use of LED lighting systems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Boiler efficiency improvement programs and condensate recovery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Heat recovery systems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Monitoring of electricity consumption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Exploration of renewable energy opportunities</w:t>
      </w:r>
    </w:p>
    <w:p>
      <w:pPr>
        <w:pStyle w:val="ListeParagraf"/>
        <w:spacing w:before="120" w:after="60"/>
        <w:ind w:left="709" w:right="0"/>
      </w:pPr>
      <w:r>
        <w:rPr>
          <w:rFonts w:ascii="Calibri" w:hAnsi="Calibri" w:cs="Arial"/>
          <w:b/>
          <w:bCs/>
          <w:sz w:val="24"/>
          <w:szCs w:val="24"/>
        </w:rPr>
        <w:t xml:space="preserve">12. ENVIRONMENTAL EMERGENCY RESPONSE</w:t>
      </w:r>
    </w:p>
    <w:p>
      <w:pPr>
        <w:pStyle w:val="ListeParagraf"/>
        <w:spacing w:after="80"/>
        <w:ind w:left="709" w:right="0"/>
        <w:jc w:val="both"/>
      </w:pPr>
      <w:r>
        <w:rPr>
          <w:rFonts w:ascii="Calibri" w:hAnsi="Calibri" w:cs="Arial"/>
          <w:sz w:val="24"/>
          <w:szCs w:val="24"/>
        </w:rPr>
        <w:t xml:space="preserve">Potential environmental emergencies include: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Chemical spills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Wastewater leakage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Fire involving chemicals</w:t>
      </w:r>
    </w:p>
    <w:p>
      <w:pPr>
        <w:pStyle w:val="ListeParagraf"/>
        <w:spacing w:before="80" w:after="40"/>
        <w:ind w:left="709" w:right="0"/>
      </w:pPr>
      <w:r>
        <w:rPr>
          <w:rFonts w:ascii="Calibri" w:hAnsi="Calibri" w:cs="Arial"/>
          <w:b/>
          <w:bCs/>
          <w:sz w:val="24"/>
          <w:szCs w:val="24"/>
        </w:rPr>
        <w:t xml:space="preserve">12.1 Emergency Procedures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Immediate containment of the spill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Isolation of the affected area</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Notification of the Environmental Manager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Incident investigation and corrective actions</w:t>
      </w:r>
    </w:p>
    <w:p>
      <w:pPr>
        <w:pStyle w:val="ListeParagraf"/>
        <w:spacing w:before="120" w:after="60"/>
        <w:ind w:left="709" w:right="0"/>
      </w:pPr>
      <w:r>
        <w:rPr>
          <w:rFonts w:ascii="Calibri" w:hAnsi="Calibri" w:cs="Arial"/>
          <w:b/>
          <w:bCs/>
          <w:sz w:val="24"/>
          <w:szCs w:val="24"/>
        </w:rPr>
        <w:t xml:space="preserve">13. TRAINING AND AWARENESS</w:t>
      </w:r>
    </w:p>
    <w:p>
      <w:pPr>
        <w:pStyle w:val="ListeParagraf"/>
        <w:spacing w:after="80"/>
        <w:ind w:left="709" w:right="0"/>
        <w:jc w:val="both"/>
      </w:pPr>
      <w:r>
        <w:rPr>
          <w:rFonts w:ascii="Calibri" w:hAnsi="Calibri" w:cs="Arial"/>
          <w:sz w:val="24"/>
          <w:szCs w:val="24"/>
        </w:rPr>
        <w:t xml:space="preserve">Environmental training programs include: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Chemical safety awareness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Spill response training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Waste segregation practices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Environmental responsibility awareness</w:t>
      </w:r>
    </w:p>
    <w:p>
      <w:pPr>
        <w:pStyle w:val="ListeParagraf"/>
        <w:spacing w:after="80"/>
        <w:ind w:left="709" w:right="0"/>
        <w:jc w:val="both"/>
      </w:pPr>
      <w:r>
        <w:rPr>
          <w:rFonts w:ascii="Calibri" w:hAnsi="Calibri" w:cs="Arial"/>
          <w:sz w:val="24"/>
          <w:szCs w:val="24"/>
        </w:rPr>
        <w:t xml:space="preserve">Training is conducted: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During employee induction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Annually or as required</w:t>
      </w:r>
    </w:p>
    <w:p>
      <w:pPr>
        <w:pStyle w:val="ListeParagraf"/>
        <w:spacing w:before="120" w:after="60"/>
        <w:ind w:left="709" w:right="0"/>
      </w:pPr>
      <w:r>
        <w:rPr>
          <w:rFonts w:ascii="Calibri" w:hAnsi="Calibri" w:cs="Arial"/>
          <w:b/>
          <w:bCs/>
          <w:sz w:val="24"/>
          <w:szCs w:val="24"/>
        </w:rPr>
        <w:t xml:space="preserve">14. ENVIRONMENTAL PERFORMANCE MONITORING</w:t>
      </w:r>
    </w:p>
    <w:p>
      <w:pPr>
        <w:pStyle w:val="ListeParagraf"/>
        <w:spacing w:after="80"/>
        <w:ind w:left="709" w:right="0"/>
        <w:jc w:val="both"/>
      </w:pPr>
      <w:r>
        <w:rPr>
          <w:rFonts w:ascii="Calibri" w:hAnsi="Calibri" w:cs="Arial"/>
          <w:sz w:val="24"/>
          <w:szCs w:val="24"/>
        </w:rPr>
        <w:t xml:space="preserve">Key Environmental Performance Indicators (KPIs):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Water consumption: </w:t>
      </w:r>
      <w:r>
        <w:rPr>
          <w:rFonts w:ascii="Calibri" w:hAnsi="Calibri" w:cs="Arial"/>
          <w:sz w:val="24"/>
          <w:szCs w:val="24"/>
        </w:rPr>
        <w:t xml:space="preserve">m³ per ton of fabric</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Energy consumption: </w:t>
      </w:r>
      <w:r>
        <w:rPr>
          <w:rFonts w:ascii="Calibri" w:hAnsi="Calibri" w:cs="Arial"/>
          <w:sz w:val="24"/>
          <w:szCs w:val="24"/>
        </w:rPr>
        <w:t xml:space="preserve">kWh per kg of production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Water reuse rate: </w:t>
      </w:r>
      <w:r>
        <w:rPr>
          <w:rFonts w:ascii="Calibri" w:hAnsi="Calibri" w:cs="Arial"/>
          <w:sz w:val="24"/>
          <w:szCs w:val="24"/>
        </w:rPr>
        <w:t xml:space="preserv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Waste generation: </w:t>
      </w:r>
      <w:r>
        <w:rPr>
          <w:rFonts w:ascii="Calibri" w:hAnsi="Calibri" w:cs="Arial"/>
          <w:sz w:val="24"/>
          <w:szCs w:val="24"/>
        </w:rPr>
        <w:t xml:space="preserve">kg per month</w:t>
      </w:r>
    </w:p>
    <w:p>
      <w:pPr>
        <w:pStyle w:val="ListeParagraf"/>
        <w:spacing w:after="80"/>
        <w:ind w:left="709" w:right="0"/>
        <w:jc w:val="both"/>
      </w:pPr>
      <w:r>
        <w:rPr>
          <w:rFonts w:ascii="Calibri" w:hAnsi="Calibri" w:cs="Arial"/>
          <w:sz w:val="24"/>
          <w:szCs w:val="24"/>
        </w:rPr>
        <w:t xml:space="preserve">Performance is reviewed monthly.</w:t>
      </w:r>
    </w:p>
    <w:p>
      <w:pPr>
        <w:pStyle w:val="ListeParagraf"/>
        <w:spacing w:before="120" w:after="60"/>
        <w:ind w:left="709" w:right="0"/>
      </w:pPr>
      <w:r>
        <w:rPr>
          <w:rFonts w:ascii="Calibri" w:hAnsi="Calibri" w:cs="Arial"/>
          <w:b/>
          <w:bCs/>
          <w:sz w:val="24"/>
          <w:szCs w:val="24"/>
        </w:rPr>
        <w:t xml:space="preserve">15. INTERNAL ENVIRONMENTAL AUDITS</w:t>
      </w:r>
    </w:p>
    <w:p>
      <w:pPr>
        <w:pStyle w:val="ListeParagraf"/>
        <w:spacing w:after="80"/>
        <w:ind w:left="709" w:right="0"/>
        <w:jc w:val="both"/>
      </w:pPr>
      <w:r>
        <w:rPr>
          <w:rFonts w:ascii="Calibri" w:hAnsi="Calibri" w:cs="Arial"/>
          <w:sz w:val="24"/>
          <w:szCs w:val="24"/>
        </w:rPr>
        <w:t xml:space="preserve">Internal environmental audits are conducted at least quarterly, or monthly where required based on operational needs.</w:t>
      </w:r>
    </w:p>
    <w:p>
      <w:pPr>
        <w:pStyle w:val="ListeParagraf"/>
        <w:spacing w:after="80"/>
        <w:ind w:left="709" w:right="0"/>
        <w:jc w:val="both"/>
      </w:pPr>
      <w:r>
        <w:rPr>
          <w:rFonts w:ascii="Calibri" w:hAnsi="Calibri" w:cs="Arial"/>
          <w:sz w:val="24"/>
          <w:szCs w:val="24"/>
        </w:rPr>
        <w:t xml:space="preserve">The audit scope includes: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Compliance with environmental procedures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Chemical management practices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Wastewater treatment performance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Waste management practices</w:t>
      </w:r>
    </w:p>
    <w:p>
      <w:pPr>
        <w:pStyle w:val="ListeParagraf"/>
        <w:spacing w:before="120" w:after="60"/>
        <w:ind w:left="709" w:right="0"/>
      </w:pPr>
      <w:r>
        <w:rPr>
          <w:rFonts w:ascii="Calibri" w:hAnsi="Calibri" w:cs="Arial"/>
          <w:b/>
          <w:bCs/>
          <w:sz w:val="24"/>
          <w:szCs w:val="24"/>
        </w:rPr>
        <w:t xml:space="preserve">16. MANAGEMENT REVIEW</w:t>
      </w:r>
    </w:p>
    <w:p>
      <w:pPr>
        <w:pStyle w:val="ListeParagraf"/>
        <w:spacing w:after="80"/>
        <w:ind w:left="709" w:right="0"/>
        <w:jc w:val="both"/>
      </w:pPr>
      <w:r>
        <w:rPr>
          <w:rFonts w:ascii="Calibri" w:hAnsi="Calibri" w:cs="Arial"/>
          <w:sz w:val="24"/>
          <w:szCs w:val="24"/>
        </w:rPr>
        <w:t xml:space="preserve">Senior management reviews EMS performance semi-annually, including: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Audit results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Environmental performance indicators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Compliance status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Opportunities for improvement</w:t>
      </w:r>
    </w:p>
    <w:p>
      <w:pPr>
        <w:pStyle w:val="ListeParagraf"/>
        <w:spacing w:before="120" w:after="60"/>
        <w:ind w:left="709" w:right="0"/>
      </w:pPr>
      <w:r>
        <w:rPr>
          <w:rFonts w:ascii="Calibri" w:hAnsi="Calibri" w:cs="Arial"/>
          <w:b/>
          <w:bCs/>
          <w:sz w:val="24"/>
          <w:szCs w:val="24"/>
        </w:rPr>
        <w:t xml:space="preserve">17. DOCUMENT CONTROL</w:t>
      </w:r>
    </w:p>
    <w:p>
      <w:pPr>
        <w:pStyle w:val="ListeParagraf"/>
        <w:spacing w:after="80"/>
        <w:ind w:left="709" w:right="0"/>
        <w:jc w:val="both"/>
      </w:pPr>
      <w:r>
        <w:rPr>
          <w:rFonts w:ascii="Calibri" w:hAnsi="Calibri" w:cs="Arial"/>
          <w:sz w:val="24"/>
          <w:szCs w:val="24"/>
        </w:rPr>
        <w:t xml:space="preserve">All environmental documents must be: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Controlled and approved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Properly numbered and versioned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Stored securely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Accessible to relevant personnel</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الغرض من هذا الإجراء هو إنشاء نظام إدارة بيئية منظم في إيروغلو للتريكو (EMS) لضبط الأداء البيئي للمنشأة ومراقبته وتحسينه باستمرار.</w:t>
      </w:r>
    </w:p>
    <w:p>
      <w:pPr>
        <w:pStyle w:val="ListeParagraf"/>
        <w:bidi/>
        <w:spacing w:after="80"/>
        <w:ind w:left="0" w:right="709"/>
        <w:jc w:val="both"/>
      </w:pPr>
      <w:r>
        <w:rPr>
          <w:rFonts w:ascii="Calibri" w:hAnsi="Calibri" w:cs="Arial"/>
          <w:rtl/>
          <w:sz w:val="24"/>
          <w:szCs w:val="24"/>
        </w:rPr>
        <w:t xml:space="preserve">يضمن هذا الإجراء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الامتثال للوائح البيئية المحلية المعمول بها والمعايير الدولية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منع التلوث البيئي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الاستخدام الكفء للموارد الطبيعية مثل المياه والطاقة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الإدارة المسؤولة للمواد الكيميائية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الإدارة السليمة لمياه الصرف والانبعاثات والنفايات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التحسين المستمر للأداء البيئي</w:t>
      </w:r>
    </w:p>
    <w:p>
      <w:pPr>
        <w:pStyle w:val="ListeParagraf"/>
        <w:bidi/>
        <w:spacing w:after="80"/>
        <w:ind w:left="0" w:right="709"/>
        <w:jc w:val="both"/>
      </w:pPr>
      <w:r>
        <w:rPr>
          <w:rFonts w:ascii="Calibri" w:hAnsi="Calibri" w:cs="Arial"/>
          <w:rtl/>
          <w:sz w:val="24"/>
          <w:szCs w:val="24"/>
        </w:rPr>
        <w:t xml:space="preserve">يتوافق نظام الإدارة البيئية مع الأطر المعترف بها دوليًا مثل: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ISO 14001</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مؤسسة التصريف الصفري للمواد الكيميائية الخطرة (ZDHC)</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الوحدة البيئية للمنشآت من Higg (FEM)</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المعيار العالمي للمنسوجات العضوية (GOTS)</w:t>
      </w:r>
    </w:p>
    <w:p>
      <w:pPr>
        <w:pStyle w:val="ListeParagraf"/>
        <w:bidi/>
        <w:spacing w:before="120" w:after="60"/>
        <w:ind w:left="0" w:right="709"/>
      </w:pPr>
      <w:r>
        <w:rPr>
          <w:rFonts w:ascii="Calibri" w:hAnsi="Calibri" w:cs="Arial"/>
          <w:b/>
          <w:bCs/>
          <w:rtl/>
          <w:sz w:val="24"/>
          <w:szCs w:val="24"/>
        </w:rPr>
        <w:t xml:space="preserve">2. النطاق</w:t>
      </w:r>
    </w:p>
    <w:p>
      <w:pPr>
        <w:pStyle w:val="ListeParagraf"/>
        <w:bidi/>
        <w:spacing w:after="80"/>
        <w:ind w:left="0" w:right="709"/>
        <w:jc w:val="both"/>
      </w:pPr>
      <w:r>
        <w:rPr>
          <w:rFonts w:ascii="Calibri" w:hAnsi="Calibri" w:cs="Arial"/>
          <w:rtl/>
          <w:sz w:val="24"/>
          <w:szCs w:val="24"/>
        </w:rPr>
        <w:t xml:space="preserve">ينطبق إجراء التشغيل القياسي هذا على جميع العمليات والأنشطة داخل المنشأة، بما في ذلك:</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عمليات الإنتاج: </w:t>
      </w:r>
      <w:r>
        <w:rPr>
          <w:rFonts w:ascii="Calibri" w:hAnsi="Calibri" w:cs="Arial"/>
          <w:rtl/>
          <w:sz w:val="24"/>
          <w:szCs w:val="24"/>
        </w:rPr>
        <w:t xml:space="preserve">الغزل، التريكو، الصباغة والتجهيز، القص، الطباعة، الخياطة وغيرها.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العمليات المساندة: </w:t>
      </w:r>
      <w:r>
        <w:rPr>
          <w:rFonts w:ascii="Calibri" w:hAnsi="Calibri" w:cs="Arial"/>
          <w:rtl/>
          <w:sz w:val="24"/>
          <w:szCs w:val="24"/>
        </w:rPr>
        <w:t xml:space="preserve">محطة معالجة مياه الصرف، تشغيل الغلايات، الضواغط والمرافق، ورش الصيانة، المستودعات ومناطق تخزين المواد الكيميائية، المختبرات وإدارات مراقبة الجودة وغيرها.</w:t>
      </w:r>
    </w:p>
    <w:p>
      <w:pPr>
        <w:pStyle w:val="ListeParagraf"/>
        <w:bidi/>
        <w:spacing w:after="80"/>
        <w:ind w:left="0" w:right="709"/>
        <w:jc w:val="both"/>
      </w:pPr>
      <w:r>
        <w:rPr>
          <w:rFonts w:ascii="Calibri" w:hAnsi="Calibri" w:cs="Arial"/>
          <w:rtl/>
          <w:sz w:val="24"/>
          <w:szCs w:val="24"/>
        </w:rPr>
        <w:t xml:space="preserve">ينطبق الإجراء أيضًا على العاملين والمقاولين والموردين العاملين داخل المنشأة.</w:t>
      </w:r>
    </w:p>
    <w:p>
      <w:pPr>
        <w:pStyle w:val="ListeParagraf"/>
        <w:bidi/>
        <w:spacing w:before="120" w:after="60"/>
        <w:ind w:left="0" w:right="709"/>
      </w:pPr>
      <w:r>
        <w:rPr>
          <w:rFonts w:ascii="Calibri" w:hAnsi="Calibri" w:cs="Arial"/>
          <w:b/>
          <w:bCs/>
          <w:rtl/>
          <w:sz w:val="24"/>
          <w:szCs w:val="24"/>
        </w:rPr>
        <w:t xml:space="preserve">3. مبادئ السياسة البيئية</w:t>
      </w:r>
    </w:p>
    <w:p>
      <w:pPr>
        <w:pStyle w:val="ListeParagraf"/>
        <w:bidi/>
        <w:spacing w:after="80"/>
        <w:ind w:left="0" w:right="709"/>
        <w:jc w:val="both"/>
      </w:pPr>
      <w:r>
        <w:rPr>
          <w:rFonts w:ascii="Calibri" w:hAnsi="Calibri" w:cs="Arial"/>
          <w:rtl/>
          <w:sz w:val="24"/>
          <w:szCs w:val="24"/>
        </w:rPr>
        <w:t xml:space="preserve">تلتزم المنشأة بالمبادئ البيئية التالية: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الامتثال للقوانين واللوائح البيئية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منع التلوث البيئي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الاستخدام الكفء للموارد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الإدارة الآمنة للمواد الكيميائية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خفض انبعاثات غازات الاحتباس الحراري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التحسين المستمر للأداء البيئي</w:t>
      </w:r>
    </w:p>
    <w:p>
      <w:pPr>
        <w:pStyle w:val="ListeParagraf"/>
        <w:bidi/>
        <w:spacing w:before="120" w:after="60"/>
        <w:ind w:left="0" w:right="709"/>
      </w:pPr>
      <w:r>
        <w:rPr>
          <w:rFonts w:ascii="Calibri" w:hAnsi="Calibri" w:cs="Arial"/>
          <w:b/>
          <w:bCs/>
          <w:rtl/>
          <w:sz w:val="24"/>
          <w:szCs w:val="24"/>
        </w:rPr>
        <w:t xml:space="preserve">4. الأدوار والمسؤوليات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الصحة والسلامة والبيئة: </w:t>
      </w:r>
      <w:r>
        <w:rPr>
          <w:rFonts w:ascii="Calibri" w:hAnsi="Calibri" w:cs="Arial"/>
          <w:rtl/>
          <w:sz w:val="24"/>
          <w:szCs w:val="24"/>
        </w:rPr>
        <w:t xml:space="preserve">تطبيق نظام الإدارة البيئية والمحافظة عليه، وتحديد الجوانب والتأثيرات البيئية، ومراقبة الامتثال البيئي، وإعداد تقارير الأداء البيئي، والتنسيق مع الجهات التنظيمية.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الاستدامة: </w:t>
      </w:r>
      <w:r>
        <w:rPr>
          <w:rFonts w:ascii="Calibri" w:hAnsi="Calibri" w:cs="Arial"/>
          <w:rtl/>
          <w:sz w:val="24"/>
          <w:szCs w:val="24"/>
        </w:rPr>
        <w:t xml:space="preserve">متابعة مؤشرات الأداء البيئي، وإعداد تقارير الاستدامة، ومراقبة البيانات البيئية ومبادرات التحسين.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فريق إدارة المواد الكيميائية: </w:t>
      </w:r>
      <w:r>
        <w:rPr>
          <w:rFonts w:ascii="Calibri" w:hAnsi="Calibri" w:cs="Arial"/>
          <w:rtl/>
          <w:sz w:val="24"/>
          <w:szCs w:val="24"/>
        </w:rPr>
        <w:t xml:space="preserve">اعتماد المواد الكيميائية وتقييمها، والمحافظة على قائمة جرد المواد الكيميائية، وضمان الامتثال لمتطلبات MRSL وRSL، ومراجعة صحائف بيانات السلامة (SDS).</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محطة معالجة مياه الصرف: </w:t>
      </w:r>
      <w:r>
        <w:rPr>
          <w:rFonts w:ascii="Calibri" w:hAnsi="Calibri" w:cs="Arial"/>
          <w:rtl/>
          <w:sz w:val="24"/>
          <w:szCs w:val="24"/>
        </w:rPr>
        <w:t xml:space="preserve">تشغيل محطة معالجة مياه الصرف، ومراقبة معايير جودة مياه الصرف، والمحافظة على السجلات التشغيلية.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الإنتاج: </w:t>
      </w:r>
      <w:r>
        <w:rPr>
          <w:rFonts w:ascii="Calibri" w:hAnsi="Calibri" w:cs="Arial"/>
          <w:rtl/>
          <w:sz w:val="24"/>
          <w:szCs w:val="24"/>
        </w:rPr>
        <w:t xml:space="preserve">تطبيق تدابير منع التلوث وترشيد استهلاك الموارد في عمليات الإنتاج.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إدارة الصيانة: </w:t>
      </w:r>
      <w:r>
        <w:rPr>
          <w:rFonts w:ascii="Calibri" w:hAnsi="Calibri" w:cs="Arial"/>
          <w:rtl/>
          <w:sz w:val="24"/>
          <w:szCs w:val="24"/>
        </w:rPr>
        <w:t xml:space="preserve">صيانة أنظمة الضبط البيئي، وصيانة معدات معالجة مياه الصرف، والصيانة الوقائية للمرافق.</w:t>
      </w:r>
    </w:p>
    <w:p>
      <w:pPr>
        <w:pStyle w:val="ListeParagraf"/>
        <w:bidi/>
        <w:spacing w:before="120" w:after="60"/>
        <w:ind w:left="0" w:right="709"/>
      </w:pPr>
      <w:r>
        <w:rPr>
          <w:rFonts w:ascii="Calibri" w:hAnsi="Calibri" w:cs="Arial"/>
          <w:b/>
          <w:bCs/>
          <w:rtl/>
          <w:sz w:val="24"/>
          <w:szCs w:val="24"/>
        </w:rPr>
        <w:t xml:space="preserve">5. تقييم الجوانب والتأثيرات البيئية</w:t>
      </w:r>
    </w:p>
    <w:p>
      <w:pPr>
        <w:pStyle w:val="ListeParagraf"/>
        <w:bidi/>
        <w:spacing w:after="80"/>
        <w:ind w:left="0" w:right="709"/>
        <w:jc w:val="both"/>
      </w:pPr>
      <w:r>
        <w:rPr>
          <w:rFonts w:ascii="Calibri" w:hAnsi="Calibri" w:cs="Arial"/>
          <w:rtl/>
          <w:sz w:val="24"/>
          <w:szCs w:val="24"/>
        </w:rPr>
        <w:t xml:space="preserve">تُحدَّد الجوانب البيئية لجميع الأنشطة وتُقيَّم على أساس الشدة والتكرار والتأثير البيئي.</w:t>
      </w:r>
    </w:p>
    <w:p>
      <w:pPr>
        <w:pStyle w:val="ListeParagraf"/>
        <w:bidi/>
        <w:spacing w:after="80"/>
        <w:ind w:left="0" w:right="709"/>
        <w:jc w:val="both"/>
      </w:pPr>
      <w:r>
        <w:rPr>
          <w:rFonts w:ascii="Calibri" w:hAnsi="Calibri" w:cs="Arial"/>
          <w:rtl/>
          <w:sz w:val="24"/>
          <w:szCs w:val="24"/>
        </w:rPr>
        <w:t xml:space="preserve">مثال على التقييم: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عملية الصباغة: </w:t>
      </w:r>
      <w:r>
        <w:rPr>
          <w:rFonts w:ascii="Calibri" w:hAnsi="Calibri" w:cs="Arial"/>
          <w:rtl/>
          <w:sz w:val="24"/>
          <w:szCs w:val="24"/>
        </w:rPr>
        <w:t xml:space="preserve">الجانب البيئي: استهلاك مرتفع للمياه؛ التأثير البيئي: استنزاف الموارد؛ مستوى الخطر: مرتفع</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تشغيل الغلايات: </w:t>
      </w:r>
      <w:r>
        <w:rPr>
          <w:rFonts w:ascii="Calibri" w:hAnsi="Calibri" w:cs="Arial"/>
          <w:rtl/>
          <w:sz w:val="24"/>
          <w:szCs w:val="24"/>
        </w:rPr>
        <w:t xml:space="preserve">الجانب البيئي: انبعاثات هوائية؛ التأثير البيئي: تلوث الهواء؛ مستوى الخطر: متوسط</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قص الأقمشة: </w:t>
      </w:r>
      <w:r>
        <w:rPr>
          <w:rFonts w:ascii="Calibri" w:hAnsi="Calibri" w:cs="Arial"/>
          <w:rtl/>
          <w:sz w:val="24"/>
          <w:szCs w:val="24"/>
        </w:rPr>
        <w:t xml:space="preserve">الجانب البيئي: توليد نفايات نسيجية؛ التأثير البيئي: زيادة النفايات المدفونة؛ مستوى الخطر: منخفض</w:t>
      </w:r>
    </w:p>
    <w:p>
      <w:pPr>
        <w:pStyle w:val="ListeParagraf"/>
        <w:bidi/>
        <w:spacing w:after="80"/>
        <w:ind w:left="0" w:right="709"/>
        <w:jc w:val="both"/>
      </w:pPr>
      <w:r>
        <w:rPr>
          <w:rFonts w:ascii="Calibri" w:hAnsi="Calibri" w:cs="Arial"/>
          <w:rtl/>
          <w:sz w:val="24"/>
          <w:szCs w:val="24"/>
        </w:rPr>
        <w:t xml:space="preserve">يُراجَع التقييم سنويًا أو عند حدوث تغييرات في العمليات.</w:t>
      </w:r>
    </w:p>
    <w:p>
      <w:pPr>
        <w:pStyle w:val="ListeParagraf"/>
        <w:bidi/>
        <w:spacing w:before="120" w:after="60"/>
        <w:ind w:left="0" w:right="709"/>
      </w:pPr>
      <w:r>
        <w:rPr>
          <w:rFonts w:ascii="Calibri" w:hAnsi="Calibri" w:cs="Arial"/>
          <w:b/>
          <w:bCs/>
          <w:rtl/>
          <w:sz w:val="24"/>
          <w:szCs w:val="24"/>
        </w:rPr>
        <w:t xml:space="preserve">6. برنامج إدارة المياه</w:t>
      </w:r>
    </w:p>
    <w:p>
      <w:pPr>
        <w:pStyle w:val="ListeParagraf"/>
        <w:bidi/>
        <w:spacing w:before="80" w:after="40"/>
        <w:ind w:left="0" w:right="709"/>
      </w:pPr>
      <w:r>
        <w:rPr>
          <w:rFonts w:ascii="Calibri" w:hAnsi="Calibri" w:cs="Arial"/>
          <w:b/>
          <w:bCs/>
          <w:rtl/>
          <w:sz w:val="24"/>
          <w:szCs w:val="24"/>
        </w:rPr>
        <w:t xml:space="preserve">6.1 الأهداف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خفض استهلاك المياه بنسبة 20% على الأقل.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تحقيق معدل إعادة استخدام للمياه بنسبة 65%.</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المراقبة اليومية وإعداد ميزان مائي سنوي.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تحسين كفاءة استخدام المياه في جميع العمليات.</w:t>
      </w:r>
    </w:p>
    <w:p>
      <w:pPr>
        <w:pStyle w:val="ListeParagraf"/>
        <w:bidi/>
        <w:spacing w:before="80" w:after="40"/>
        <w:ind w:left="0" w:right="709"/>
      </w:pPr>
      <w:r>
        <w:rPr>
          <w:rFonts w:ascii="Calibri" w:hAnsi="Calibri" w:cs="Arial"/>
          <w:b/>
          <w:bCs/>
          <w:rtl/>
          <w:sz w:val="24"/>
          <w:szCs w:val="24"/>
        </w:rPr>
        <w:t xml:space="preserve">6.2 تدابير الضبط</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تركيب عدادات مياه في جميع الإدارات الرئيسية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المراقبة اليومية لاستهلاك المياه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التحليل الشهري لاتجاهات استخدام المياه</w:t>
      </w:r>
    </w:p>
    <w:p>
      <w:pPr>
        <w:pStyle w:val="ListeParagraf"/>
        <w:bidi/>
        <w:spacing w:before="80" w:after="40"/>
        <w:ind w:left="0" w:right="709"/>
      </w:pPr>
      <w:r>
        <w:rPr>
          <w:rFonts w:ascii="Calibri" w:hAnsi="Calibri" w:cs="Arial"/>
          <w:b/>
          <w:bCs/>
          <w:rtl/>
          <w:sz w:val="24"/>
          <w:szCs w:val="24"/>
        </w:rPr>
        <w:t xml:space="preserve">6.3 إعادة استخدام المياه</w:t>
      </w:r>
    </w:p>
    <w:p>
      <w:pPr>
        <w:pStyle w:val="ListeParagraf"/>
        <w:bidi/>
        <w:spacing w:after="80"/>
        <w:ind w:left="0" w:right="709"/>
        <w:jc w:val="both"/>
      </w:pPr>
      <w:r>
        <w:rPr>
          <w:rFonts w:ascii="Calibri" w:hAnsi="Calibri" w:cs="Arial"/>
          <w:rtl/>
          <w:sz w:val="24"/>
          <w:szCs w:val="24"/>
        </w:rPr>
        <w:t xml:space="preserve">ستُعاد استخدام مياه الصرف المعالجة في: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عمليات الصباغة والتجهيز</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عمليات التنظيف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أنظمة التبريد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تنسيق الحدائق والري حيثما أمكن</w:t>
      </w:r>
    </w:p>
    <w:p>
      <w:pPr>
        <w:pStyle w:val="ListeParagraf"/>
        <w:bidi/>
        <w:spacing w:before="120" w:after="60"/>
        <w:ind w:left="0" w:right="709"/>
      </w:pPr>
      <w:r>
        <w:rPr>
          <w:rFonts w:ascii="Calibri" w:hAnsi="Calibri" w:cs="Arial"/>
          <w:b/>
          <w:bCs/>
          <w:rtl/>
          <w:sz w:val="24"/>
          <w:szCs w:val="24"/>
        </w:rPr>
        <w:t xml:space="preserve">7. نظام إدارة المواد الكيميائية</w:t>
      </w:r>
    </w:p>
    <w:p>
      <w:pPr>
        <w:pStyle w:val="ListeParagraf"/>
        <w:bidi/>
        <w:spacing w:after="80"/>
        <w:ind w:left="0" w:right="709"/>
        <w:jc w:val="both"/>
      </w:pPr>
      <w:r>
        <w:rPr>
          <w:rFonts w:ascii="Calibri" w:hAnsi="Calibri" w:cs="Arial"/>
          <w:rtl/>
          <w:sz w:val="24"/>
          <w:szCs w:val="24"/>
        </w:rPr>
        <w:t xml:space="preserve">تحافظ المنشأة على نظام شامل لإدارة المواد الكيميائية يتوافق مع:</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قائمة المواد المقيدة في التصنيع ZDHC MRSL (مؤسسة التصريف الصفري للمواد الكيميائية الخطرة)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النظام المنسق عالميًا لتصنيف المواد الكيميائية ووسمها (GHS)</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نظام تتبع الدفعات (LOT)</w:t>
      </w:r>
    </w:p>
    <w:p>
      <w:pPr>
        <w:pStyle w:val="ListeParagraf"/>
        <w:bidi/>
        <w:spacing w:before="80" w:after="40"/>
        <w:ind w:left="0" w:right="709"/>
      </w:pPr>
      <w:r>
        <w:rPr>
          <w:rFonts w:ascii="Calibri" w:hAnsi="Calibri" w:cs="Arial"/>
          <w:b/>
          <w:bCs/>
          <w:rtl/>
          <w:sz w:val="24"/>
          <w:szCs w:val="24"/>
        </w:rPr>
        <w:t xml:space="preserve">7.1 المتطلبات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اعتماد المواد الكيميائية قبل شرائها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توفر صحائف بيانات السلامة (SDS) وصحائف البيانات الفنية (TDS) وشهادات الاعتماد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الوسم السليم للمواد الكيميائية وفق GHS</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التخزين المنفصل للمواد الكيميائية غير المتوافقة</w:t>
      </w:r>
    </w:p>
    <w:p>
      <w:pPr>
        <w:pStyle w:val="ListeParagraf"/>
        <w:bidi/>
        <w:spacing w:before="120" w:after="60"/>
        <w:ind w:left="0" w:right="709"/>
      </w:pPr>
      <w:r>
        <w:rPr>
          <w:rFonts w:ascii="Calibri" w:hAnsi="Calibri" w:cs="Arial"/>
          <w:b/>
          <w:bCs/>
          <w:rtl/>
          <w:sz w:val="24"/>
          <w:szCs w:val="24"/>
        </w:rPr>
        <w:t xml:space="preserve">8. إدارة مياه الصرف</w:t>
      </w:r>
    </w:p>
    <w:p>
      <w:pPr>
        <w:pStyle w:val="ListeParagraf"/>
        <w:bidi/>
        <w:spacing w:after="80"/>
        <w:ind w:left="0" w:right="709"/>
        <w:jc w:val="both"/>
      </w:pPr>
      <w:r>
        <w:rPr>
          <w:rFonts w:ascii="Calibri" w:hAnsi="Calibri" w:cs="Arial"/>
          <w:rtl/>
          <w:sz w:val="24"/>
          <w:szCs w:val="24"/>
        </w:rPr>
        <w:t xml:space="preserve">تُعالَج جميع مياه الصرف الصناعي الناتجة عن عمليات الإنتاج في محطة معالجة مياه الصرف (ETP) قبل تصريفها أو إعادة استخدامها. وتُشغَّل المحطة مع مراقبة كاملة واختبارات شهرية ورفع التقارير عبر منصة ZDHC Gateway.</w:t>
      </w:r>
    </w:p>
    <w:p>
      <w:pPr>
        <w:pStyle w:val="ListeParagraf"/>
        <w:bidi/>
        <w:spacing w:before="80" w:after="40"/>
        <w:ind w:left="0" w:right="709"/>
      </w:pPr>
      <w:r>
        <w:rPr>
          <w:rFonts w:ascii="Calibri" w:hAnsi="Calibri" w:cs="Arial"/>
          <w:b/>
          <w:bCs/>
          <w:rtl/>
          <w:sz w:val="24"/>
          <w:szCs w:val="24"/>
        </w:rPr>
        <w:t xml:space="preserve">8.1 مراحل المعالجة النموذجية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المعادلة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معادلة الرقم الهيدروجيني (pH)</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التخثير والتلبيد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الترسيب الأولي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المعالجة البيولوجية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الترشيح والتنقية النهائية</w:t>
      </w:r>
    </w:p>
    <w:p>
      <w:pPr>
        <w:pStyle w:val="ListeParagraf"/>
        <w:bidi/>
        <w:spacing w:before="80" w:after="40"/>
        <w:ind w:left="0" w:right="709"/>
      </w:pPr>
      <w:r>
        <w:rPr>
          <w:rFonts w:ascii="Calibri" w:hAnsi="Calibri" w:cs="Arial"/>
          <w:b/>
          <w:bCs/>
          <w:rtl/>
          <w:sz w:val="24"/>
          <w:szCs w:val="24"/>
        </w:rPr>
        <w:t xml:space="preserve">8.2 معايير المراقبة</w:t>
      </w:r>
    </w:p>
    <w:p>
      <w:pPr>
        <w:pStyle w:val="ListeParagraf"/>
        <w:bidi/>
        <w:spacing w:after="80"/>
        <w:ind w:left="0" w:right="709"/>
        <w:jc w:val="both"/>
      </w:pPr>
      <w:r>
        <w:rPr>
          <w:rFonts w:ascii="Calibri" w:hAnsi="Calibri" w:cs="Arial"/>
          <w:rtl/>
          <w:sz w:val="24"/>
          <w:szCs w:val="24"/>
        </w:rPr>
        <w:t xml:space="preserve">تُراقَب المعايير التالية بانتظام: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الرقم الهيدروجيني (pH)</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الطلب الكيميائي على الأكسجين (COD)</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الطلب البيولوجي على الأكسجين (BOD)</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إجمالي المواد الصلبة العالقة (TSS)</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اللون</w:t>
      </w:r>
    </w:p>
    <w:p>
      <w:pPr>
        <w:pStyle w:val="ListeParagraf"/>
        <w:bidi/>
        <w:spacing w:after="80"/>
        <w:ind w:left="0" w:right="709"/>
        <w:jc w:val="both"/>
      </w:pPr>
      <w:r>
        <w:rPr>
          <w:rFonts w:ascii="Calibri" w:hAnsi="Calibri" w:cs="Arial"/>
          <w:rtl/>
          <w:sz w:val="24"/>
          <w:szCs w:val="24"/>
        </w:rPr>
        <w:t xml:space="preserve">تُجرى المراقبة وفق الإرشادات التنظيمية والدولية.</w:t>
      </w:r>
    </w:p>
    <w:p>
      <w:pPr>
        <w:pStyle w:val="ListeParagraf"/>
        <w:bidi/>
        <w:spacing w:before="120" w:after="60"/>
        <w:ind w:left="0" w:right="709"/>
      </w:pPr>
      <w:r>
        <w:rPr>
          <w:rFonts w:ascii="Calibri" w:hAnsi="Calibri" w:cs="Arial"/>
          <w:b/>
          <w:bCs/>
          <w:rtl/>
          <w:sz w:val="24"/>
          <w:szCs w:val="24"/>
        </w:rPr>
        <w:t xml:space="preserve">9. ضبط الانبعاثات الهوائية</w:t>
      </w:r>
    </w:p>
    <w:p>
      <w:pPr>
        <w:pStyle w:val="ListeParagraf"/>
        <w:bidi/>
        <w:spacing w:after="80"/>
        <w:ind w:left="0" w:right="709"/>
        <w:jc w:val="both"/>
      </w:pPr>
      <w:r>
        <w:rPr>
          <w:rFonts w:ascii="Calibri" w:hAnsi="Calibri" w:cs="Arial"/>
          <w:rtl/>
          <w:sz w:val="24"/>
          <w:szCs w:val="24"/>
        </w:rPr>
        <w:t xml:space="preserve">تشمل المصادر الرئيسية للانبعاثات الهوائية: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الغلايات البخارية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مولدات الديزل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العمليات الحرارية</w:t>
      </w:r>
    </w:p>
    <w:p>
      <w:pPr>
        <w:pStyle w:val="ListeParagraf"/>
        <w:bidi/>
        <w:spacing w:before="80" w:after="40"/>
        <w:ind w:left="0" w:right="709"/>
      </w:pPr>
      <w:r>
        <w:rPr>
          <w:rFonts w:ascii="Calibri" w:hAnsi="Calibri" w:cs="Arial"/>
          <w:b/>
          <w:bCs/>
          <w:rtl/>
          <w:sz w:val="24"/>
          <w:szCs w:val="24"/>
        </w:rPr>
        <w:t xml:space="preserve">9.1 تدابير الضبط</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استخدام وقود منخفض الكبريت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تركيب أنظمة ضبط الانبعاثات حيثما يلزم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المراقبة الدورية للانبعاثات، بما في ذلك المركبات العضوية المتطايرة وثاني أكسيد الكربون وأكاسيد النيتروجين وأكاسيد الكبريت والجسيمات الدقيقة وغيرها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تركيب نقاط أخذ العينات في المداخن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الصيانة الوقائية لمعدات الاحتراق</w:t>
      </w:r>
    </w:p>
    <w:p>
      <w:pPr>
        <w:pStyle w:val="ListeParagraf"/>
        <w:bidi/>
        <w:spacing w:before="120" w:after="60"/>
        <w:ind w:left="0" w:right="709"/>
      </w:pPr>
      <w:r>
        <w:rPr>
          <w:rFonts w:ascii="Calibri" w:hAnsi="Calibri" w:cs="Arial"/>
          <w:b/>
          <w:bCs/>
          <w:rtl/>
          <w:sz w:val="24"/>
          <w:szCs w:val="24"/>
        </w:rPr>
        <w:t xml:space="preserve">10. إدارة النفايات الصلبة</w:t>
      </w:r>
    </w:p>
    <w:p>
      <w:pPr>
        <w:pStyle w:val="ListeParagraf"/>
        <w:bidi/>
        <w:spacing w:before="80" w:after="40"/>
        <w:ind w:left="0" w:right="709"/>
      </w:pPr>
      <w:r>
        <w:rPr>
          <w:rFonts w:ascii="Calibri" w:hAnsi="Calibri" w:cs="Arial"/>
          <w:b/>
          <w:bCs/>
          <w:rtl/>
          <w:sz w:val="24"/>
          <w:szCs w:val="24"/>
        </w:rPr>
        <w:t xml:space="preserve">10.1 فئات النفايات</w:t>
      </w:r>
    </w:p>
    <w:p>
      <w:pPr>
        <w:pStyle w:val="ListeParagraf"/>
        <w:bidi/>
        <w:spacing w:after="80"/>
        <w:ind w:left="0" w:right="709"/>
        <w:jc w:val="both"/>
      </w:pPr>
      <w:r>
        <w:rPr>
          <w:rFonts w:ascii="Calibri" w:hAnsi="Calibri" w:cs="Arial"/>
          <w:rtl/>
          <w:sz w:val="24"/>
          <w:szCs w:val="24"/>
        </w:rPr>
        <w:t xml:space="preserve">النفايات غير الخطرة (الفصل والتخلص الآمن):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بقايا الأقمشة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الكرتون ومواد التغليف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النفايات البلاستيكية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بقايا الطعام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نفايات المكاتب</w:t>
      </w:r>
    </w:p>
    <w:p>
      <w:pPr>
        <w:pStyle w:val="ListeParagraf"/>
        <w:bidi/>
        <w:spacing w:after="80"/>
        <w:ind w:left="0" w:right="709"/>
        <w:jc w:val="both"/>
      </w:pPr>
      <w:r>
        <w:rPr>
          <w:rFonts w:ascii="Calibri" w:hAnsi="Calibri" w:cs="Arial"/>
          <w:rtl/>
          <w:sz w:val="24"/>
          <w:szCs w:val="24"/>
        </w:rPr>
        <w:t xml:space="preserve">النفايات الخطرة (ضبط النفايات الخطرة):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عبوات المواد الكيميائية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الزيوت ومواد التشحيم المستعملة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حمأة محطة معالجة مياه الصرف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المواد الملوثة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خراطيش الحبر المستهلكة</w:t>
      </w:r>
    </w:p>
    <w:p>
      <w:pPr>
        <w:pStyle w:val="ListeParagraf"/>
        <w:bidi/>
        <w:spacing w:before="80" w:after="40"/>
        <w:ind w:left="0" w:right="709"/>
      </w:pPr>
      <w:r>
        <w:rPr>
          <w:rFonts w:ascii="Calibri" w:hAnsi="Calibri" w:cs="Arial"/>
          <w:b/>
          <w:bCs/>
          <w:rtl/>
          <w:sz w:val="24"/>
          <w:szCs w:val="24"/>
        </w:rPr>
        <w:t xml:space="preserve">10.2 إجراءات إدارة النفايات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الفصل من المصدر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الوسم والتخزين السليمان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التخلص عن طريق مقاولي إدارة نفايات مرخصين</w:t>
      </w:r>
    </w:p>
    <w:p>
      <w:pPr>
        <w:pStyle w:val="ListeParagraf"/>
        <w:bidi/>
        <w:spacing w:before="120" w:after="60"/>
        <w:ind w:left="0" w:right="709"/>
      </w:pPr>
      <w:r>
        <w:rPr>
          <w:rFonts w:ascii="Calibri" w:hAnsi="Calibri" w:cs="Arial"/>
          <w:b/>
          <w:bCs/>
          <w:rtl/>
          <w:sz w:val="24"/>
          <w:szCs w:val="24"/>
        </w:rPr>
        <w:t xml:space="preserve">11. إدارة الطاقة</w:t>
      </w:r>
    </w:p>
    <w:p>
      <w:pPr>
        <w:pStyle w:val="ListeParagraf"/>
        <w:bidi/>
        <w:spacing w:after="80"/>
        <w:ind w:left="0" w:right="709"/>
        <w:jc w:val="both"/>
      </w:pPr>
      <w:r>
        <w:rPr>
          <w:rFonts w:ascii="Calibri" w:hAnsi="Calibri" w:cs="Arial"/>
          <w:rtl/>
          <w:sz w:val="24"/>
          <w:szCs w:val="24"/>
        </w:rPr>
        <w:t xml:space="preserve">تشمل مبادرات كفاءة الطاقة: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استخدام أنظمة الإضاءة LED</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برامج تحسين كفاءة الغلايات واسترجاع المكثفات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أنظمة استرجاع الحرارة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مراقبة استهلاك الكهرباء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دراسة فرص الطاقة المتجددة</w:t>
      </w:r>
    </w:p>
    <w:p>
      <w:pPr>
        <w:pStyle w:val="ListeParagraf"/>
        <w:bidi/>
        <w:spacing w:before="120" w:after="60"/>
        <w:ind w:left="0" w:right="709"/>
      </w:pPr>
      <w:r>
        <w:rPr>
          <w:rFonts w:ascii="Calibri" w:hAnsi="Calibri" w:cs="Arial"/>
          <w:b/>
          <w:bCs/>
          <w:rtl/>
          <w:sz w:val="24"/>
          <w:szCs w:val="24"/>
        </w:rPr>
        <w:t xml:space="preserve">12. الاستجابة للطوارئ البيئية</w:t>
      </w:r>
    </w:p>
    <w:p>
      <w:pPr>
        <w:pStyle w:val="ListeParagraf"/>
        <w:bidi/>
        <w:spacing w:after="80"/>
        <w:ind w:left="0" w:right="709"/>
        <w:jc w:val="both"/>
      </w:pPr>
      <w:r>
        <w:rPr>
          <w:rFonts w:ascii="Calibri" w:hAnsi="Calibri" w:cs="Arial"/>
          <w:rtl/>
          <w:sz w:val="24"/>
          <w:szCs w:val="24"/>
        </w:rPr>
        <w:t xml:space="preserve">تشمل الطوارئ البيئية المحتملة: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انسكابات المواد الكيميائية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تسرب مياه الصرف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الحرائق التي تشمل مواد كيميائية</w:t>
      </w:r>
    </w:p>
    <w:p>
      <w:pPr>
        <w:pStyle w:val="ListeParagraf"/>
        <w:bidi/>
        <w:spacing w:before="80" w:after="40"/>
        <w:ind w:left="0" w:right="709"/>
      </w:pPr>
      <w:r>
        <w:rPr>
          <w:rFonts w:ascii="Calibri" w:hAnsi="Calibri" w:cs="Arial"/>
          <w:b/>
          <w:bCs/>
          <w:rtl/>
          <w:sz w:val="24"/>
          <w:szCs w:val="24"/>
        </w:rPr>
        <w:t xml:space="preserve">12.1 إجراءات الطوارئ</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الاحتواء الفوري للانسكاب</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عزل المنطقة المتأثرة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إبلاغ مدير البيئة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التحقيق في الحادث واتخاذ الإجراءات التصحيحية</w:t>
      </w:r>
    </w:p>
    <w:p>
      <w:pPr>
        <w:pStyle w:val="ListeParagraf"/>
        <w:bidi/>
        <w:spacing w:before="120" w:after="60"/>
        <w:ind w:left="0" w:right="709"/>
      </w:pPr>
      <w:r>
        <w:rPr>
          <w:rFonts w:ascii="Calibri" w:hAnsi="Calibri" w:cs="Arial"/>
          <w:b/>
          <w:bCs/>
          <w:rtl/>
          <w:sz w:val="24"/>
          <w:szCs w:val="24"/>
        </w:rPr>
        <w:t xml:space="preserve">13. التدريب والتوعية</w:t>
      </w:r>
    </w:p>
    <w:p>
      <w:pPr>
        <w:pStyle w:val="ListeParagraf"/>
        <w:bidi/>
        <w:spacing w:after="80"/>
        <w:ind w:left="0" w:right="709"/>
        <w:jc w:val="both"/>
      </w:pPr>
      <w:r>
        <w:rPr>
          <w:rFonts w:ascii="Calibri" w:hAnsi="Calibri" w:cs="Arial"/>
          <w:rtl/>
          <w:sz w:val="24"/>
          <w:szCs w:val="24"/>
        </w:rPr>
        <w:t xml:space="preserve">تشمل برامج التدريب البيئي: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التوعية بسلامة المواد الكيميائية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التدريب على الاستجابة للانسكابات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ممارسات فصل النفايات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التوعية بالمسؤولية البيئية</w:t>
      </w:r>
    </w:p>
    <w:p>
      <w:pPr>
        <w:pStyle w:val="ListeParagraf"/>
        <w:bidi/>
        <w:spacing w:after="80"/>
        <w:ind w:left="0" w:right="709"/>
        <w:jc w:val="both"/>
      </w:pPr>
      <w:r>
        <w:rPr>
          <w:rFonts w:ascii="Calibri" w:hAnsi="Calibri" w:cs="Arial"/>
          <w:rtl/>
          <w:sz w:val="24"/>
          <w:szCs w:val="24"/>
        </w:rPr>
        <w:t xml:space="preserve">يُنفَّذ التدريب:</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أثناء التعريف الوظيفي للعاملين الجدد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سنويًا أو حسب الحاجة</w:t>
      </w:r>
    </w:p>
    <w:p>
      <w:pPr>
        <w:pStyle w:val="ListeParagraf"/>
        <w:bidi/>
        <w:spacing w:before="120" w:after="60"/>
        <w:ind w:left="0" w:right="709"/>
      </w:pPr>
      <w:r>
        <w:rPr>
          <w:rFonts w:ascii="Calibri" w:hAnsi="Calibri" w:cs="Arial"/>
          <w:b/>
          <w:bCs/>
          <w:rtl/>
          <w:sz w:val="24"/>
          <w:szCs w:val="24"/>
        </w:rPr>
        <w:t xml:space="preserve">14. مراقبة الأداء البيئي</w:t>
      </w:r>
    </w:p>
    <w:p>
      <w:pPr>
        <w:pStyle w:val="ListeParagraf"/>
        <w:bidi/>
        <w:spacing w:after="80"/>
        <w:ind w:left="0" w:right="709"/>
        <w:jc w:val="both"/>
      </w:pPr>
      <w:r>
        <w:rPr>
          <w:rFonts w:ascii="Calibri" w:hAnsi="Calibri" w:cs="Arial"/>
          <w:rtl/>
          <w:sz w:val="24"/>
          <w:szCs w:val="24"/>
        </w:rPr>
        <w:t xml:space="preserve">مؤشرات الأداء البيئي الرئيسية: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استهلاك المياه: </w:t>
      </w:r>
      <w:r>
        <w:rPr>
          <w:rFonts w:ascii="Calibri" w:hAnsi="Calibri" w:cs="Arial"/>
          <w:rtl/>
          <w:sz w:val="24"/>
          <w:szCs w:val="24"/>
        </w:rPr>
        <w:t xml:space="preserve">متر مكعب لكل طن من القماش</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استهلاك الطاقة: </w:t>
      </w:r>
      <w:r>
        <w:rPr>
          <w:rFonts w:ascii="Calibri" w:hAnsi="Calibri" w:cs="Arial"/>
          <w:rtl/>
          <w:sz w:val="24"/>
          <w:szCs w:val="24"/>
        </w:rPr>
        <w:t xml:space="preserve">كيلوواط ساعة لكل كيلوغرام من الإنتاج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معدل إعادة استخدام المياه: </w:t>
      </w:r>
      <w:r>
        <w:rPr>
          <w:rFonts w:ascii="Calibri" w:hAnsi="Calibri" w:cs="Arial"/>
          <w:rtl/>
          <w:sz w:val="24"/>
          <w:szCs w:val="24"/>
        </w:rPr>
        <w:t xml:space="preserve">%</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توليد النفايات: </w:t>
      </w:r>
      <w:r>
        <w:rPr>
          <w:rFonts w:ascii="Calibri" w:hAnsi="Calibri" w:cs="Arial"/>
          <w:rtl/>
          <w:sz w:val="24"/>
          <w:szCs w:val="24"/>
        </w:rPr>
        <w:t xml:space="preserve">كيلوغرام شهريًا</w:t>
      </w:r>
    </w:p>
    <w:p>
      <w:pPr>
        <w:pStyle w:val="ListeParagraf"/>
        <w:bidi/>
        <w:spacing w:after="80"/>
        <w:ind w:left="0" w:right="709"/>
        <w:jc w:val="both"/>
      </w:pPr>
      <w:r>
        <w:rPr>
          <w:rFonts w:ascii="Calibri" w:hAnsi="Calibri" w:cs="Arial"/>
          <w:rtl/>
          <w:sz w:val="24"/>
          <w:szCs w:val="24"/>
        </w:rPr>
        <w:t xml:space="preserve">يُراجَع الأداء شهريًا.</w:t>
      </w:r>
    </w:p>
    <w:p>
      <w:pPr>
        <w:pStyle w:val="ListeParagraf"/>
        <w:bidi/>
        <w:spacing w:before="120" w:after="60"/>
        <w:ind w:left="0" w:right="709"/>
      </w:pPr>
      <w:r>
        <w:rPr>
          <w:rFonts w:ascii="Calibri" w:hAnsi="Calibri" w:cs="Arial"/>
          <w:b/>
          <w:bCs/>
          <w:rtl/>
          <w:sz w:val="24"/>
          <w:szCs w:val="24"/>
        </w:rPr>
        <w:t xml:space="preserve">15. عمليات التدقيق البيئي الداخلي</w:t>
      </w:r>
    </w:p>
    <w:p>
      <w:pPr>
        <w:pStyle w:val="ListeParagraf"/>
        <w:bidi/>
        <w:spacing w:after="80"/>
        <w:ind w:left="0" w:right="709"/>
        <w:jc w:val="both"/>
      </w:pPr>
      <w:r>
        <w:rPr>
          <w:rFonts w:ascii="Calibri" w:hAnsi="Calibri" w:cs="Arial"/>
          <w:rtl/>
          <w:sz w:val="24"/>
          <w:szCs w:val="24"/>
        </w:rPr>
        <w:t xml:space="preserve">تُجرى عمليات التدقيق البيئي الداخلي مرة كل ربع سنة على الأقل، أو شهريًا عند الحاجة وفق المتطلبات التشغيلية.</w:t>
      </w:r>
    </w:p>
    <w:p>
      <w:pPr>
        <w:pStyle w:val="ListeParagraf"/>
        <w:bidi/>
        <w:spacing w:after="80"/>
        <w:ind w:left="0" w:right="709"/>
        <w:jc w:val="both"/>
      </w:pPr>
      <w:r>
        <w:rPr>
          <w:rFonts w:ascii="Calibri" w:hAnsi="Calibri" w:cs="Arial"/>
          <w:rtl/>
          <w:sz w:val="24"/>
          <w:szCs w:val="24"/>
        </w:rPr>
        <w:t xml:space="preserve">يشمل نطاق التدقيق: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الامتثال للإجراءات البيئية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ممارسات إدارة المواد الكيميائية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أداء معالجة مياه الصرف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ممارسات إدارة النفايات</w:t>
      </w:r>
    </w:p>
    <w:p>
      <w:pPr>
        <w:pStyle w:val="ListeParagraf"/>
        <w:bidi/>
        <w:spacing w:before="120" w:after="60"/>
        <w:ind w:left="0" w:right="709"/>
      </w:pPr>
      <w:r>
        <w:rPr>
          <w:rFonts w:ascii="Calibri" w:hAnsi="Calibri" w:cs="Arial"/>
          <w:b/>
          <w:bCs/>
          <w:rtl/>
          <w:sz w:val="24"/>
          <w:szCs w:val="24"/>
        </w:rPr>
        <w:t xml:space="preserve">16. مراجعة الإدارة</w:t>
      </w:r>
    </w:p>
    <w:p>
      <w:pPr>
        <w:pStyle w:val="ListeParagraf"/>
        <w:bidi/>
        <w:spacing w:after="80"/>
        <w:ind w:left="0" w:right="709"/>
        <w:jc w:val="both"/>
      </w:pPr>
      <w:r>
        <w:rPr>
          <w:rFonts w:ascii="Calibri" w:hAnsi="Calibri" w:cs="Arial"/>
          <w:rtl/>
          <w:sz w:val="24"/>
          <w:szCs w:val="24"/>
        </w:rPr>
        <w:t xml:space="preserve">تراجع الإدارة العليا أداء نظام الإدارة البيئية مرتين سنويًا، بما في ذلك:</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نتائج التدقيق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مؤشرات الأداء البيئي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حالة الامتثال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فرص التحسين</w:t>
      </w:r>
    </w:p>
    <w:p>
      <w:pPr>
        <w:pStyle w:val="ListeParagraf"/>
        <w:bidi/>
        <w:spacing w:before="120" w:after="60"/>
        <w:ind w:left="0" w:right="709"/>
      </w:pPr>
      <w:r>
        <w:rPr>
          <w:rFonts w:ascii="Calibri" w:hAnsi="Calibri" w:cs="Arial"/>
          <w:b/>
          <w:bCs/>
          <w:rtl/>
          <w:sz w:val="24"/>
          <w:szCs w:val="24"/>
        </w:rPr>
        <w:t xml:space="preserve">17. ضبط الوثائق</w:t>
      </w:r>
    </w:p>
    <w:p>
      <w:pPr>
        <w:pStyle w:val="ListeParagraf"/>
        <w:bidi/>
        <w:spacing w:after="80"/>
        <w:ind w:left="0" w:right="709"/>
        <w:jc w:val="both"/>
      </w:pPr>
      <w:r>
        <w:rPr>
          <w:rFonts w:ascii="Calibri" w:hAnsi="Calibri" w:cs="Arial"/>
          <w:rtl/>
          <w:sz w:val="24"/>
          <w:szCs w:val="24"/>
        </w:rPr>
        <w:t xml:space="preserve">يجب أن تكون جميع الوثائق البيئية: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مضبوطة ومعتمدة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مرقمة ومحددة الإصدار بشكل سليم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محفوظة بشكل آمن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متاحة للعاملين المعنيين</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ENVIRONMENTAL MANAGEMENT SYSTEM PROCEDURE</w:t>
          </w:r>
        </w:p>
        <w:p>
          <w:pPr>
            <w:pStyle w:val="GvdeMetni2"/>
            <w:bidi/>
            <w:spacing w:line="276" w:lineRule="auto"/>
            <w:jc w:val="center"/>
          </w:pPr>
          <w:r>
            <w:rPr>
              <w:rFonts w:asciiTheme="minorHAnsi" w:hAnsiTheme="minorHAnsi" w:cs="Arial"/>
              <w:b/>
              <w:bCs/>
              <w:color w:val="000000" w:themeColor="text1"/>
              <w:sz w:val="22"/>
              <w:szCs w:val="22"/>
              <w:rtl/>
            </w:rPr>
            <w:t>إجراء نظام الإدارة البيئية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EMS.ÇV.PRO.19.04.</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