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has been prepared to guarantee that employees can exercise their rights to establish trade unions, join trade unions, participate in collective bargaining and similar rights of association freely and without pressure, and to ensure that this process is carried out with company management in a transparent manner based on mutual respect.</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all employees working at the textile and garment production facility of Eroglu Knitting (EMS) operating in Egypt. Company management, the Human Resources Unit, department managers and other personnel in managerial positions are also obliged to fully comply with this procedure.</w:t>
      </w:r>
    </w:p>
    <w:p>
      <w:pPr>
        <w:pStyle w:val="ListeParagraf"/>
        <w:spacing w:before="120" w:after="60"/>
        <w:ind w:left="709" w:right="0"/>
      </w:pPr>
      <w:r>
        <w:rPr>
          <w:rFonts w:ascii="Calibri" w:hAnsi="Calibri" w:cs="Arial"/>
          <w:b/>
          <w:bCs/>
          <w:sz w:val="24"/>
          <w:szCs w:val="24"/>
        </w:rPr>
        <w:t xml:space="preserve">3. RESPONSIBLE PARTIES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Board of Directors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Human Resources Unit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Legal Unit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Unit Managers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Employees</w:t>
      </w:r>
    </w:p>
    <w:p>
      <w:pPr>
        <w:pStyle w:val="ListeParagraf"/>
        <w:spacing w:before="120" w:after="60"/>
        <w:ind w:left="709" w:right="0"/>
      </w:pPr>
      <w:r>
        <w:rPr>
          <w:rFonts w:ascii="Calibri" w:hAnsi="Calibri" w:cs="Arial"/>
          <w:b/>
          <w:bCs/>
          <w:sz w:val="24"/>
          <w:szCs w:val="24"/>
        </w:rPr>
        <w:t xml:space="preserve">4. MAIN PROCESSES AND SUB-PROCESSES</w:t>
      </w:r>
    </w:p>
    <w:p>
      <w:pPr>
        <w:pStyle w:val="ListeParagraf"/>
        <w:spacing w:before="80" w:after="40"/>
        <w:ind w:left="709" w:right="0"/>
      </w:pPr>
      <w:r>
        <w:rPr>
          <w:rFonts w:ascii="Calibri" w:hAnsi="Calibri" w:cs="Arial"/>
          <w:b/>
          <w:bCs/>
          <w:sz w:val="24"/>
          <w:szCs w:val="24"/>
        </w:rPr>
        <w:t xml:space="preserve">4.1 Recognition of the Right to Organize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4.1.1 Right to Establish and Join a Trade Union: </w:t>
      </w:r>
      <w:r>
        <w:rPr>
          <w:rFonts w:ascii="Calibri" w:hAnsi="Calibri" w:cs="Arial"/>
          <w:sz w:val="24"/>
          <w:szCs w:val="24"/>
        </w:rPr>
        <w:t xml:space="preserve">Employees have the right, within the framework of legal regulations, to establish a trade union, join existing trade unions or leave a trade union. This right is exercised without any obligation to obtain permission.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4.1.2 Principle of Company Neutrality: </w:t>
      </w:r>
      <w:r>
        <w:rPr>
          <w:rFonts w:ascii="Calibri" w:hAnsi="Calibri" w:cs="Arial"/>
          <w:sz w:val="24"/>
          <w:szCs w:val="24"/>
        </w:rPr>
        <w:t xml:space="preserve">The company does not take any position to support or obstruct any trade union. No employee may be subjected to discrimination, dismissal, exclusion or punishment because of trade union membership.</w:t>
      </w:r>
    </w:p>
    <w:p>
      <w:pPr>
        <w:pStyle w:val="ListeParagraf"/>
        <w:spacing w:before="80" w:after="40"/>
        <w:ind w:left="709" w:right="0"/>
      </w:pPr>
      <w:r>
        <w:rPr>
          <w:rFonts w:ascii="Calibri" w:hAnsi="Calibri" w:cs="Arial"/>
          <w:b/>
          <w:bCs/>
          <w:sz w:val="24"/>
          <w:szCs w:val="24"/>
        </w:rPr>
        <w:t xml:space="preserve">4.2 Information and Awareness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4.2.1 Notification of Rights: </w:t>
      </w:r>
      <w:r>
        <w:rPr>
          <w:rFonts w:ascii="Calibri" w:hAnsi="Calibri" w:cs="Arial"/>
          <w:sz w:val="24"/>
          <w:szCs w:val="24"/>
        </w:rPr>
        <w:t xml:space="preserve">All employees are informed about freedom of association upon recruitment. A signed information form is provided to personnel by Human Resources.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4.2.2 Annual Trainings: </w:t>
      </w:r>
      <w:r>
        <w:rPr>
          <w:rFonts w:ascii="Calibri" w:hAnsi="Calibri" w:cs="Arial"/>
          <w:sz w:val="24"/>
          <w:szCs w:val="24"/>
        </w:rPr>
        <w:t xml:space="preserve">Training under the title "Human Rights and Employee Rights" is given regularly to all personnel every year. Trainings are conducted within the framework of international standards.</w:t>
      </w:r>
    </w:p>
    <w:p>
      <w:pPr>
        <w:pStyle w:val="ListeParagraf"/>
        <w:spacing w:before="80" w:after="40"/>
        <w:ind w:left="709" w:right="0"/>
      </w:pPr>
      <w:r>
        <w:rPr>
          <w:rFonts w:ascii="Calibri" w:hAnsi="Calibri" w:cs="Arial"/>
          <w:b/>
          <w:bCs/>
          <w:sz w:val="24"/>
          <w:szCs w:val="24"/>
        </w:rPr>
        <w:t xml:space="preserve">4.3 Representation and Communication Mechanisms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4.3.1 Dialogue with Employee Representatives: </w:t>
      </w:r>
      <w:r>
        <w:rPr>
          <w:rFonts w:ascii="Calibri" w:hAnsi="Calibri" w:cs="Arial"/>
          <w:sz w:val="24"/>
          <w:szCs w:val="24"/>
        </w:rPr>
        <w:t xml:space="preserve">The company meets with employee representatives or trade union representatives at regular intervals to obtain feedback on workplace practices and to evaluate suggestions.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4.3.2 Non-Discriminatory Approach: </w:t>
      </w:r>
      <w:r>
        <w:rPr>
          <w:rFonts w:ascii="Calibri" w:hAnsi="Calibri" w:cs="Arial"/>
          <w:sz w:val="24"/>
          <w:szCs w:val="24"/>
        </w:rPr>
        <w:t xml:space="preserve">Elected representatives continue to work while performing their duties without being subjected to dismissal, threats or different treatment. Their workload may not be increased and their salary or bonus entitlements may not be restricted.</w:t>
      </w:r>
    </w:p>
    <w:p>
      <w:pPr>
        <w:pStyle w:val="ListeParagraf"/>
        <w:spacing w:before="80" w:after="40"/>
        <w:ind w:left="709" w:right="0"/>
      </w:pPr>
      <w:r>
        <w:rPr>
          <w:rFonts w:ascii="Calibri" w:hAnsi="Calibri" w:cs="Arial"/>
          <w:b/>
          <w:bCs/>
          <w:sz w:val="24"/>
          <w:szCs w:val="24"/>
        </w:rPr>
        <w:t xml:space="preserve">4.4 Reporting of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4.4.1 Violation Reporting Process: </w:t>
      </w:r>
      <w:r>
        <w:rPr>
          <w:rFonts w:ascii="Calibri" w:hAnsi="Calibri" w:cs="Arial"/>
          <w:sz w:val="24"/>
          <w:szCs w:val="24"/>
        </w:rPr>
        <w:t xml:space="preserve">Any pressure, intimidation, threat, dismissal or similar behavior directed at trade union activities can be reported through the confidential ethics reporting line.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4.4.2 Investigation and Sanctions: </w:t>
      </w:r>
      <w:r>
        <w:rPr>
          <w:rFonts w:ascii="Calibri" w:hAnsi="Calibri" w:cs="Arial"/>
          <w:sz w:val="24"/>
          <w:szCs w:val="24"/>
        </w:rPr>
        <w:t xml:space="preserve">Following a report, an investigation is opened by the Human Resources Unit and the Legal Representative. The disciplinary procedure is applied for identified violations.</w:t>
      </w:r>
    </w:p>
    <w:p>
      <w:pPr>
        <w:pStyle w:val="ListeParagraf"/>
        <w:spacing w:before="80" w:after="40"/>
        <w:ind w:left="709" w:right="0"/>
      </w:pPr>
      <w:r>
        <w:rPr>
          <w:rFonts w:ascii="Calibri" w:hAnsi="Calibri" w:cs="Arial"/>
          <w:b/>
          <w:bCs/>
          <w:sz w:val="24"/>
          <w:szCs w:val="24"/>
        </w:rPr>
        <w:t xml:space="preserve">4.5 Process Monitoring and Improvement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4.5.1 Periodic Review: </w:t>
      </w:r>
      <w:r>
        <w:rPr>
          <w:rFonts w:ascii="Calibri" w:hAnsi="Calibri" w:cs="Arial"/>
          <w:sz w:val="24"/>
          <w:szCs w:val="24"/>
        </w:rPr>
        <w:t xml:space="preserve">This procedure is reviewed once a year. When deemed necessary, it is revised in line with legal updates and implementation improvements.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4.5.2 Monitoring of Legal Compliance: </w:t>
      </w:r>
      <w:r>
        <w:rPr>
          <w:rFonts w:ascii="Calibri" w:hAnsi="Calibri" w:cs="Arial"/>
          <w:sz w:val="24"/>
          <w:szCs w:val="24"/>
        </w:rPr>
        <w:t xml:space="preserve">The Human Resources Unit follows local and international legal regulations and continuously checks the compliance of the procedure with the legislation.</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أُعِدّ هذا الإجراء لضمان ممارسة الموظفين لحقوقهم في تأسيس النقابات والانضمام إليها والمشاركة في المفاوضة الجماعية وما يماثلها من حقوق التنظيم بحرية ودون ضغط، ولضمان إدارة هذه العملية مع إدارة الشركة بشفافية وعلى أساس الاحترام المتبادل.</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يشمل هذا الإجراء جميع الموظفين العاملين في منشأة إنتاج المنسوجات والملابس الجاهزة التابعة لـ إيروغلو للتريكو (EMS) العاملة في مصر. كما تلتزم إدارة الشركة ووحدة الموارد البشرية ومديرو الأقسام وسائر الموظفين في المناصب الإدارية بالامتثال الكامل لهذا الإجراء.</w:t>
      </w:r>
    </w:p>
    <w:p>
      <w:pPr>
        <w:pStyle w:val="ListeParagraf"/>
        <w:bidi/>
        <w:spacing w:before="120" w:after="60"/>
        <w:ind w:left="0" w:right="709"/>
      </w:pPr>
      <w:r>
        <w:rPr>
          <w:rFonts w:ascii="Calibri" w:hAnsi="Calibri" w:cs="Arial"/>
          <w:b/>
          <w:bCs/>
          <w:rtl/>
          <w:sz w:val="24"/>
          <w:szCs w:val="24"/>
        </w:rPr>
        <w:t xml:space="preserve">3. الجهات المسؤولة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مجلس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وحدة الموارد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الوحدة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مديرو الوحدات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جميع الموظفين</w:t>
      </w:r>
    </w:p>
    <w:p>
      <w:pPr>
        <w:pStyle w:val="ListeParagraf"/>
        <w:bidi/>
        <w:spacing w:before="120" w:after="60"/>
        <w:ind w:left="0" w:right="709"/>
      </w:pPr>
      <w:r>
        <w:rPr>
          <w:rFonts w:ascii="Calibri" w:hAnsi="Calibri" w:cs="Arial"/>
          <w:b/>
          <w:bCs/>
          <w:rtl/>
          <w:sz w:val="24"/>
          <w:szCs w:val="24"/>
        </w:rPr>
        <w:t xml:space="preserve">4. العمليات الرئيسية والعمليات الفرعية</w:t>
      </w:r>
    </w:p>
    <w:p>
      <w:pPr>
        <w:pStyle w:val="ListeParagraf"/>
        <w:bidi/>
        <w:spacing w:before="80" w:after="40"/>
        <w:ind w:left="0" w:right="709"/>
      </w:pPr>
      <w:r>
        <w:rPr>
          <w:rFonts w:ascii="Calibri" w:hAnsi="Calibri" w:cs="Arial"/>
          <w:b/>
          <w:bCs/>
          <w:rtl/>
          <w:sz w:val="24"/>
          <w:szCs w:val="24"/>
        </w:rPr>
        <w:t xml:space="preserve">4.1 الاعتراف بحق التنظيم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4.1.1 حق تأسيس النقابة والانضمام إليها: </w:t>
      </w:r>
      <w:r>
        <w:rPr>
          <w:rFonts w:ascii="Calibri" w:hAnsi="Calibri" w:cs="Arial"/>
          <w:rtl/>
          <w:sz w:val="24"/>
          <w:szCs w:val="24"/>
        </w:rPr>
        <w:t xml:space="preserve">يحق للموظفين، في إطار التشريعات القانونية، تأسيس نقابة أو الانضمام إلى النقابات القائمة أو الانسحاب منها. ويُمارَس هذا الحق دون أي التزام بالحصول على إذن.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4.1.2 مبدأ حياد الشركة: </w:t>
      </w:r>
      <w:r>
        <w:rPr>
          <w:rFonts w:ascii="Calibri" w:hAnsi="Calibri" w:cs="Arial"/>
          <w:rtl/>
          <w:sz w:val="24"/>
          <w:szCs w:val="24"/>
        </w:rPr>
        <w:t xml:space="preserve">لا تتخذ الشركة أي موقف لدعم أي نقابة أو عرقلتها. ولا يجوز إخضاع أي موظف للتمييز أو الفصل أو الإقصاء أو العقاب بسبب عضويته النقابية.</w:t>
      </w:r>
    </w:p>
    <w:p>
      <w:pPr>
        <w:pStyle w:val="ListeParagraf"/>
        <w:bidi/>
        <w:spacing w:before="80" w:after="40"/>
        <w:ind w:left="0" w:right="709"/>
      </w:pPr>
      <w:r>
        <w:rPr>
          <w:rFonts w:ascii="Calibri" w:hAnsi="Calibri" w:cs="Arial"/>
          <w:b/>
          <w:bCs/>
          <w:rtl/>
          <w:sz w:val="24"/>
          <w:szCs w:val="24"/>
        </w:rPr>
        <w:t xml:space="preserve">4.2 الإعلام والتوعية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4.2.1 الإبلاغ بالحقوق: </w:t>
      </w:r>
      <w:r>
        <w:rPr>
          <w:rFonts w:ascii="Calibri" w:hAnsi="Calibri" w:cs="Arial"/>
          <w:rtl/>
          <w:sz w:val="24"/>
          <w:szCs w:val="24"/>
        </w:rPr>
        <w:t xml:space="preserve">يُبلَّغ جميع الموظفين بحرية تكوين الجمعيات عند التعيين، وتقدم الموارد البشرية للموظفين نموذج إعلام موقّعًا.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4.2.2 التدريبات السنوية: </w:t>
      </w:r>
      <w:r>
        <w:rPr>
          <w:rFonts w:ascii="Calibri" w:hAnsi="Calibri" w:cs="Arial"/>
          <w:rtl/>
          <w:sz w:val="24"/>
          <w:szCs w:val="24"/>
        </w:rPr>
        <w:t xml:space="preserve">يُقدَّم تدريب لجميع الموظفين بانتظام كل عام تحت عنوان "حقوق الإنسان وحقوق الموظفين"، وتُنفَّذ التدريبات في إطار المعايير الدولية.</w:t>
      </w:r>
    </w:p>
    <w:p>
      <w:pPr>
        <w:pStyle w:val="ListeParagraf"/>
        <w:bidi/>
        <w:spacing w:before="80" w:after="40"/>
        <w:ind w:left="0" w:right="709"/>
      </w:pPr>
      <w:r>
        <w:rPr>
          <w:rFonts w:ascii="Calibri" w:hAnsi="Calibri" w:cs="Arial"/>
          <w:b/>
          <w:bCs/>
          <w:rtl/>
          <w:sz w:val="24"/>
          <w:szCs w:val="24"/>
        </w:rPr>
        <w:t xml:space="preserve">4.3 آليات التمثيل والتواصل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4.3.1 الحوار مع ممثلي الموظفين: </w:t>
      </w:r>
      <w:r>
        <w:rPr>
          <w:rFonts w:ascii="Calibri" w:hAnsi="Calibri" w:cs="Arial"/>
          <w:rtl/>
          <w:sz w:val="24"/>
          <w:szCs w:val="24"/>
        </w:rPr>
        <w:t xml:space="preserve">تجتمع الشركة مع ممثلي الموظفين أو ممثلي النقابات على فترات منتظمة للحصول على ملاحظاتهم بشأن ممارسات مكان العمل وتقييم المقترحات.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4.3.2 النهج غير التمييزي: </w:t>
      </w:r>
      <w:r>
        <w:rPr>
          <w:rFonts w:ascii="Calibri" w:hAnsi="Calibri" w:cs="Arial"/>
          <w:rtl/>
          <w:sz w:val="24"/>
          <w:szCs w:val="24"/>
        </w:rPr>
        <w:t xml:space="preserve">يواصل الممثلون المنتخبون عملهم أثناء أداء مهامهم دون التعرض للفصل أو التهديد أو المعاملة المختلفة، ولا يجوز زيادة أعباء عملهم أو تقييد حقوقهم في الرواتب أو المكافآت.</w:t>
      </w:r>
    </w:p>
    <w:p>
      <w:pPr>
        <w:pStyle w:val="ListeParagraf"/>
        <w:bidi/>
        <w:spacing w:before="80" w:after="40"/>
        <w:ind w:left="0" w:right="709"/>
      </w:pPr>
      <w:r>
        <w:rPr>
          <w:rFonts w:ascii="Calibri" w:hAnsi="Calibri" w:cs="Arial"/>
          <w:b/>
          <w:bCs/>
          <w:rtl/>
          <w:sz w:val="24"/>
          <w:szCs w:val="24"/>
        </w:rPr>
        <w:t xml:space="preserve">4.4 الإبلاغ عن 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4.4.1 عملية الإبلاغ عن المخالفات: </w:t>
      </w:r>
      <w:r>
        <w:rPr>
          <w:rFonts w:ascii="Calibri" w:hAnsi="Calibri" w:cs="Arial"/>
          <w:rtl/>
          <w:sz w:val="24"/>
          <w:szCs w:val="24"/>
        </w:rPr>
        <w:t xml:space="preserve">يمكن الإبلاغ عن أي ضغط أو ترهيب أو تهديد أو فصل أو سلوك مماثل يستهدف الأنشطة النقابية من خلال خط الإبلاغ الأخلاقي السري.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4.4.2 التحقيق والجزاءات: </w:t>
      </w:r>
      <w:r>
        <w:rPr>
          <w:rFonts w:ascii="Calibri" w:hAnsi="Calibri" w:cs="Arial"/>
          <w:rtl/>
          <w:sz w:val="24"/>
          <w:szCs w:val="24"/>
        </w:rPr>
        <w:t xml:space="preserve">بعد الإبلاغ، تفتح وحدة الموارد البشرية والممثل القانوني تحقيقًا، ويُطبَّق الإجراء التأديبي على المخالفات التي يثبت وقوعها.</w:t>
      </w:r>
    </w:p>
    <w:p>
      <w:pPr>
        <w:pStyle w:val="ListeParagraf"/>
        <w:bidi/>
        <w:spacing w:before="80" w:after="40"/>
        <w:ind w:left="0" w:right="709"/>
      </w:pPr>
      <w:r>
        <w:rPr>
          <w:rFonts w:ascii="Calibri" w:hAnsi="Calibri" w:cs="Arial"/>
          <w:b/>
          <w:bCs/>
          <w:rtl/>
          <w:sz w:val="24"/>
          <w:szCs w:val="24"/>
        </w:rPr>
        <w:t xml:space="preserve">4.5 متابعة العملية وتطويرها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4.5.1 المراجعة الدورية: </w:t>
      </w:r>
      <w:r>
        <w:rPr>
          <w:rFonts w:ascii="Calibri" w:hAnsi="Calibri" w:cs="Arial"/>
          <w:rtl/>
          <w:sz w:val="24"/>
          <w:szCs w:val="24"/>
        </w:rPr>
        <w:t xml:space="preserve">يُراجَع هذا الإجراء مرة واحدة سنويًا، ويُعدَّل عند الضرورة وفقًا للتحديثات القانونية وتحسينات التطبيق.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4.5.2 متابعة الامتثال القانوني: </w:t>
      </w:r>
      <w:r>
        <w:rPr>
          <w:rFonts w:ascii="Calibri" w:hAnsi="Calibri" w:cs="Arial"/>
          <w:rtl/>
          <w:sz w:val="24"/>
          <w:szCs w:val="24"/>
        </w:rPr>
        <w:t xml:space="preserve">تتابع وحدة الموارد البشرية التشريعات المحلية والدولية وتتحقق باستمرار من مطابقة الإجراء للتشريعات.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FREEDOM OF ASSOCIATION PROCEDURE</w:t>
          </w:r>
        </w:p>
        <w:p>
          <w:pPr>
            <w:pStyle w:val="GvdeMetni2"/>
            <w:bidi/>
            <w:spacing w:line="276" w:lineRule="auto"/>
            <w:jc w:val="center"/>
          </w:pPr>
          <w:r>
            <w:rPr>
              <w:rFonts w:asciiTheme="minorHAnsi" w:hAnsiTheme="minorHAnsi" w:cs="Arial"/>
              <w:b/>
              <w:bCs/>
              <w:color w:val="000000" w:themeColor="text1"/>
              <w:sz w:val="22"/>
              <w:szCs w:val="22"/>
              <w:rtl/>
            </w:rPr>
            <w:t>إجراء حرية تكوين الجمعيات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