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prepared to prevent discrimination among employees of Eroglu Knitting (EMS) and all suppliers it cooperates with, to promote the principle of equality, and to standardize the sanctions to be applied in the event of violations in this area. The procedure aims to provide all employees with a fair and respectful working environment, to encourage diversity, and to build an organizational structure that respects human rights in line with our corporate values.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employees working in the areas of activity of Eroglu Knitting (EMS), its affiliated companies and all of its direct and indirect suppliers. Temporary staff, interns, subcontractor workers and service providers are also covered by this procedure.</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and Sustainability Department: </w:t>
      </w:r>
      <w:r>
        <w:rPr>
          <w:rFonts w:ascii="Calibri" w:hAnsi="Calibri" w:cs="Arial"/>
          <w:sz w:val="24"/>
          <w:szCs w:val="24"/>
        </w:rPr>
        <w:t xml:space="preserve">Responsible for implementing the procedure throughout the company, delivering training and increasing employee awareness.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Supplier Management and Sustainability Teams: </w:t>
      </w:r>
      <w:r>
        <w:rPr>
          <w:rFonts w:ascii="Calibri" w:hAnsi="Calibri" w:cs="Arial"/>
          <w:sz w:val="24"/>
          <w:szCs w:val="24"/>
        </w:rPr>
        <w:t xml:space="preserve">Responsible for monitoring and evaluating practices at suppliers and ensuring that the necessary improvements are made.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Managers: </w:t>
      </w:r>
      <w:r>
        <w:rPr>
          <w:rFonts w:ascii="Calibri" w:hAnsi="Calibri" w:cs="Arial"/>
          <w:sz w:val="24"/>
          <w:szCs w:val="24"/>
        </w:rPr>
        <w:t xml:space="preserve">Ensure that zero-tolerance policies against discrimination are applied in the teams within their areas of responsibility and that a sustainable working environment is maintained.</w:t>
      </w:r>
    </w:p>
    <w:p>
      <w:pPr>
        <w:pStyle w:val="ListeParagraf"/>
        <w:spacing w:before="120" w:after="60"/>
        <w:ind w:left="709" w:right="0"/>
      </w:pPr>
      <w:r>
        <w:rPr>
          <w:rFonts w:ascii="Calibri" w:hAnsi="Calibri" w:cs="Arial"/>
          <w:b/>
          <w:bCs/>
          <w:sz w:val="24"/>
          <w:szCs w:val="24"/>
        </w:rPr>
        <w:t xml:space="preserve">4.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Discrimination: </w:t>
      </w:r>
      <w:r>
        <w:rPr>
          <w:rFonts w:ascii="Calibri" w:hAnsi="Calibri" w:cs="Arial"/>
          <w:sz w:val="24"/>
          <w:szCs w:val="24"/>
        </w:rPr>
        <w:t xml:space="preserve">Treating individuals differently and unfairly on grounds such as race, ethnic origin, religion, language, belief, gender, age, marital status, physical or mental disability, sexual orientation, political opinion, social status or trade union membership.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Indirect Discrimination: </w:t>
      </w:r>
      <w:r>
        <w:rPr>
          <w:rFonts w:ascii="Calibri" w:hAnsi="Calibri" w:cs="Arial"/>
          <w:sz w:val="24"/>
          <w:szCs w:val="24"/>
        </w:rPr>
        <w:t xml:space="preserve">Practices that appear neutral but place a particular group at a disadvantage.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Positive Discrimination: </w:t>
      </w:r>
      <w:r>
        <w:rPr>
          <w:rFonts w:ascii="Calibri" w:hAnsi="Calibri" w:cs="Arial"/>
          <w:sz w:val="24"/>
          <w:szCs w:val="24"/>
        </w:rPr>
        <w:t xml:space="preserve">Arrangements made to support groups that are in a disadvantaged position in society.</w:t>
      </w:r>
    </w:p>
    <w:p>
      <w:pPr>
        <w:pStyle w:val="ListeParagraf"/>
        <w:spacing w:before="120" w:after="60"/>
        <w:ind w:left="709" w:right="0"/>
      </w:pPr>
      <w:r>
        <w:rPr>
          <w:rFonts w:ascii="Calibri" w:hAnsi="Calibri" w:cs="Arial"/>
          <w:b/>
          <w:bCs/>
          <w:sz w:val="24"/>
          <w:szCs w:val="24"/>
        </w:rPr>
        <w:t xml:space="preserve">5. MAIN AND SUB-PROCESSES</w:t>
      </w:r>
    </w:p>
    <w:p>
      <w:pPr>
        <w:pStyle w:val="ListeParagraf"/>
        <w:spacing w:before="80" w:after="40"/>
        <w:ind w:left="709" w:right="0"/>
      </w:pPr>
      <w:r>
        <w:rPr>
          <w:rFonts w:ascii="Calibri" w:hAnsi="Calibri" w:cs="Arial"/>
          <w:b/>
          <w:bCs/>
          <w:sz w:val="24"/>
          <w:szCs w:val="24"/>
        </w:rPr>
        <w:t xml:space="preserve">5.1 Implementation Principles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Principle of Equal Treatment: </w:t>
      </w:r>
      <w:r>
        <w:rPr>
          <w:rFonts w:ascii="Calibri" w:hAnsi="Calibri" w:cs="Arial"/>
          <w:sz w:val="24"/>
          <w:szCs w:val="24"/>
        </w:rPr>
        <w:t xml:space="preserve">Eroglu Knitting (EMS) and its suppliers shall not discriminate in any way against their employees or job applicants in any human resources process, including recruitment, remuneration, career development, training opportunities, dismissal and retirement, on grounds of ethnic origin, race, religion, belief, sect, gender, age, physical or mental disability, sexual orientation, marital status, language, social origin, trade union membership, political opinion, etc.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Freedom of Employees: </w:t>
      </w:r>
      <w:r>
        <w:rPr>
          <w:rFonts w:ascii="Calibri" w:hAnsi="Calibri" w:cs="Arial"/>
          <w:sz w:val="24"/>
          <w:szCs w:val="24"/>
        </w:rPr>
        <w:t xml:space="preserve">No employee's freedom of movement may be restricted. Identity cards or personal documents may not be confiscated. Practices involving forced labor or work under threat are not permitted under any circumstances.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Mechanism: </w:t>
      </w:r>
      <w:r>
        <w:rPr>
          <w:rFonts w:ascii="Calibri" w:hAnsi="Calibri" w:cs="Arial"/>
          <w:sz w:val="24"/>
          <w:szCs w:val="24"/>
        </w:rPr>
        <w:t xml:space="preserve">Any violation related to discrimination can be reported through secure and confidential grievance channels. All complaints are evaluated impartially and managed on the basis of confidentiality.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Supplier Practices: </w:t>
      </w:r>
      <w:r>
        <w:rPr>
          <w:rFonts w:ascii="Calibri" w:hAnsi="Calibri" w:cs="Arial"/>
          <w:sz w:val="24"/>
          <w:szCs w:val="24"/>
        </w:rPr>
        <w:t xml:space="preserve">Suppliers are expected to comply with anti-discrimination principles. In the event of non-compliance, the following steps are applied: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Supplier engagement: </w:t>
      </w:r>
      <w:r>
        <w:rPr>
          <w:rFonts w:ascii="Calibri" w:hAnsi="Calibri" w:cs="Arial"/>
          <w:sz w:val="24"/>
          <w:szCs w:val="24"/>
        </w:rPr>
        <w:t xml:space="preserve">Meetings are held with the supplier and training and awareness activities are carried out on the subject so that employees are informed about the prevention of discrimination; whether any contrary situation exists is followed up periodically through employee interviews.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Improvement Process: </w:t>
      </w:r>
      <w:r>
        <w:rPr>
          <w:rFonts w:ascii="Calibri" w:hAnsi="Calibri" w:cs="Arial"/>
          <w:sz w:val="24"/>
          <w:szCs w:val="24"/>
        </w:rPr>
        <w:t xml:space="preserve">A corrective action plan is submitted to suppliers where non-compliance has been identified. In the case of continuing violations, the business relationship may be reviewed.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w:t>
      </w:r>
      <w:r>
        <w:rPr>
          <w:rFonts w:ascii="Calibri" w:hAnsi="Calibri" w:cs="Arial"/>
          <w:sz w:val="24"/>
          <w:szCs w:val="24"/>
        </w:rPr>
        <w:t xml:space="preserve">All employees receive training on "Prevention of Discrimination and Equality Principles" as part of the "Social Compliance Training", at the time of hiring and at least once a year.</w:t>
      </w:r>
    </w:p>
    <w:p>
      <w:pPr>
        <w:pStyle w:val="ListeParagraf"/>
        <w:spacing w:before="80" w:after="40"/>
        <w:ind w:left="709" w:right="0"/>
      </w:pPr>
      <w:r>
        <w:rPr>
          <w:rFonts w:ascii="Calibri" w:hAnsi="Calibri" w:cs="Arial"/>
          <w:b/>
          <w:bCs/>
          <w:sz w:val="24"/>
          <w:szCs w:val="24"/>
        </w:rPr>
        <w:t xml:space="preserve">5.2 Disciplinary Sanctions</w:t>
      </w:r>
    </w:p>
    <w:p>
      <w:pPr>
        <w:pStyle w:val="ListeParagraf"/>
        <w:spacing w:after="80"/>
        <w:ind w:left="709" w:right="0"/>
        <w:jc w:val="both"/>
      </w:pPr>
      <w:r>
        <w:rPr>
          <w:rFonts w:ascii="Calibri" w:hAnsi="Calibri" w:cs="Arial"/>
          <w:sz w:val="24"/>
          <w:szCs w:val="24"/>
        </w:rPr>
        <w:t xml:space="preserve">Violations of the rules on discrimination are evaluated in accordance with the provisions of the EG.İK.PRO.02.01 Disciplinary Procedure. Within this scope, sanctions such as a warning, a written notice or termination of the employment contract may be applied as necessary.</w:t>
      </w:r>
    </w:p>
    <w:p>
      <w:pPr>
        <w:pStyle w:val="ListeParagraf"/>
        <w:spacing w:before="80" w:after="40"/>
        <w:ind w:left="709" w:right="0"/>
      </w:pPr>
      <w:r>
        <w:rPr>
          <w:rFonts w:ascii="Calibri" w:hAnsi="Calibri" w:cs="Arial"/>
          <w:b/>
          <w:bCs/>
          <w:sz w:val="24"/>
          <w:szCs w:val="24"/>
        </w:rPr>
        <w:t xml:space="preserve">5.3 Review and Update</w:t>
      </w:r>
    </w:p>
    <w:p>
      <w:pPr>
        <w:pStyle w:val="ListeParagraf"/>
        <w:spacing w:after="80"/>
        <w:ind w:left="709" w:right="0"/>
        <w:jc w:val="both"/>
      </w:pPr>
      <w:r>
        <w:rPr>
          <w:rFonts w:ascii="Calibri" w:hAnsi="Calibri" w:cs="Arial"/>
          <w:sz w:val="24"/>
          <w:szCs w:val="24"/>
        </w:rPr>
        <w:t xml:space="preserve">This procedure is reviewed and updated at least once a year by the Human Resources and Sustainability Department. When necessary, it is revised in line with changes in the relevant laws and regulations.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أُعد هذا الإجراء بهدف منع التمييز بين العاملين لدى إيروغلو للتريكو (EMS) وجميع الموردين الذين تتعاون معهم، ودعم مبدأ المساواة، وتوحيد الجزاءات التي تُطبَّق عند حدوث مخالفات في هذا الشأن. ويهدف الإجراء إلى توفير بيئة عمل عادلة ومحترمة لجميع العاملين، وتشجيع التنوع، وبناء هيكل تنظيمي يحترم حقوق الإنسان وفقاً لقيمنا المؤسسية.</w:t>
      </w:r>
    </w:p>
    <w:p>
      <w:pPr>
        <w:pStyle w:val="ListeParagraf"/>
        <w:bidi/>
        <w:spacing w:before="120" w:after="60"/>
        <w:ind w:left="0" w:right="709"/>
      </w:pPr>
      <w:r>
        <w:rPr>
          <w:rFonts w:ascii="Calibri" w:hAnsi="Calibri" w:cs="Arial"/>
          <w:b/>
          <w:bCs/>
          <w:rtl/>
          <w:sz w:val="24"/>
          <w:szCs w:val="24"/>
        </w:rPr>
        <w:t xml:space="preserve">2. نطاق التطبيق</w:t>
      </w:r>
    </w:p>
    <w:p>
      <w:pPr>
        <w:pStyle w:val="ListeParagraf"/>
        <w:bidi/>
        <w:spacing w:after="80"/>
        <w:ind w:left="0" w:right="709"/>
        <w:jc w:val="both"/>
      </w:pPr>
      <w:r>
        <w:rPr>
          <w:rFonts w:ascii="Calibri" w:hAnsi="Calibri" w:cs="Arial"/>
          <w:rtl/>
          <w:sz w:val="24"/>
          <w:szCs w:val="24"/>
        </w:rPr>
        <w:t xml:space="preserve">يشمل هذا الإجراء العاملين في مجالات نشاط إيروغلو للتريكو (EMS) والشركات التابعة لها وجميع مورديها المباشرين وغير المباشرين. كما يشمل الإجراء العمالة المؤقتة والمتدربين وعمال المقاولين من الباطن ومقدمي الخدمات.</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الموارد البشرية والاستدامة: </w:t>
      </w:r>
      <w:r>
        <w:rPr>
          <w:rFonts w:ascii="Calibri" w:hAnsi="Calibri" w:cs="Arial"/>
          <w:rtl/>
          <w:sz w:val="24"/>
          <w:szCs w:val="24"/>
        </w:rPr>
        <w:t xml:space="preserve">مسؤولة عن تطبيق الإجراء على مستوى الشركة، وتقديم التدريبات، وزيادة وعي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إدارة الموردين والاستدامة: </w:t>
      </w:r>
      <w:r>
        <w:rPr>
          <w:rFonts w:ascii="Calibri" w:hAnsi="Calibri" w:cs="Arial"/>
          <w:rtl/>
          <w:sz w:val="24"/>
          <w:szCs w:val="24"/>
        </w:rPr>
        <w:t xml:space="preserve">مسؤولة عن متابعة الممارسات لدى الموردين وتقييمها وضمان إجراء التحسينات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المديرين: </w:t>
      </w:r>
      <w:r>
        <w:rPr>
          <w:rFonts w:ascii="Calibri" w:hAnsi="Calibri" w:cs="Arial"/>
          <w:rtl/>
          <w:sz w:val="24"/>
          <w:szCs w:val="24"/>
        </w:rPr>
        <w:t xml:space="preserve">يضمنون تطبيق سياسات عدم التسامح مطلقاً مع التمييز في الفرق التابعة لمجالات مسؤوليتهم، والحفاظ على بيئة عمل مستدامة.</w:t>
      </w:r>
    </w:p>
    <w:p>
      <w:pPr>
        <w:pStyle w:val="ListeParagraf"/>
        <w:bidi/>
        <w:spacing w:before="120" w:after="60"/>
        <w:ind w:left="0" w:right="709"/>
      </w:pPr>
      <w:r>
        <w:rPr>
          <w:rFonts w:ascii="Calibri" w:hAnsi="Calibri" w:cs="Arial"/>
          <w:b/>
          <w:bCs/>
          <w:rtl/>
          <w:sz w:val="24"/>
          <w:szCs w:val="24"/>
        </w:rPr>
        <w:t xml:space="preserve">4.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التمييز: </w:t>
      </w:r>
      <w:r>
        <w:rPr>
          <w:rFonts w:ascii="Calibri" w:hAnsi="Calibri" w:cs="Arial"/>
          <w:rtl/>
          <w:sz w:val="24"/>
          <w:szCs w:val="24"/>
        </w:rPr>
        <w:t xml:space="preserve">معاملة الأفراد معاملة مختلفة وغير عادلة بسبب العرق أو الأصل الإثني أو الدين أو اللغة أو المعتقد أو الجنس أو العمر أو الحالة الاجتماعية أو الإعاقة الجسدية أو الذهنية أو التوجه الجنسي أو الرأي السياسي أو المكانة الاجتماعية أو العضوية النقابية.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التمييز غير المباشر: </w:t>
      </w:r>
      <w:r>
        <w:rPr>
          <w:rFonts w:ascii="Calibri" w:hAnsi="Calibri" w:cs="Arial"/>
          <w:rtl/>
          <w:sz w:val="24"/>
          <w:szCs w:val="24"/>
        </w:rPr>
        <w:t xml:space="preserve">ممارسات تبدو محايدة لكنها تضع فئة معينة في وضع غير مواتٍ.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التمييز الإيجابي: </w:t>
      </w:r>
      <w:r>
        <w:rPr>
          <w:rFonts w:ascii="Calibri" w:hAnsi="Calibri" w:cs="Arial"/>
          <w:rtl/>
          <w:sz w:val="24"/>
          <w:szCs w:val="24"/>
        </w:rPr>
        <w:t xml:space="preserve">ترتيبات تُتخذ لدعم الفئات التي تكون في وضع غير مواتٍ في المجتمع.</w:t>
      </w:r>
    </w:p>
    <w:p>
      <w:pPr>
        <w:pStyle w:val="ListeParagraf"/>
        <w:bidi/>
        <w:spacing w:before="120" w:after="60"/>
        <w:ind w:left="0" w:right="709"/>
      </w:pPr>
      <w:r>
        <w:rPr>
          <w:rFonts w:ascii="Calibri" w:hAnsi="Calibri" w:cs="Arial"/>
          <w:b/>
          <w:bCs/>
          <w:rtl/>
          <w:sz w:val="24"/>
          <w:szCs w:val="24"/>
        </w:rPr>
        <w:t xml:space="preserve">5. العمليات الرئيسية والفرعية</w:t>
      </w:r>
    </w:p>
    <w:p>
      <w:pPr>
        <w:pStyle w:val="ListeParagraf"/>
        <w:bidi/>
        <w:spacing w:before="80" w:after="40"/>
        <w:ind w:left="0" w:right="709"/>
      </w:pPr>
      <w:r>
        <w:rPr>
          <w:rFonts w:ascii="Calibri" w:hAnsi="Calibri" w:cs="Arial"/>
          <w:b/>
          <w:bCs/>
          <w:rtl/>
          <w:sz w:val="24"/>
          <w:szCs w:val="24"/>
        </w:rPr>
        <w:t xml:space="preserve">5.1 مبادئ التطبيق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مبدأ المساواة في المعاملة: </w:t>
      </w:r>
      <w:r>
        <w:rPr>
          <w:rFonts w:ascii="Calibri" w:hAnsi="Calibri" w:cs="Arial"/>
          <w:rtl/>
          <w:sz w:val="24"/>
          <w:szCs w:val="24"/>
        </w:rPr>
        <w:t xml:space="preserve">لا يجوز لإيروغلو للتريكو (EMS) ومورديها التمييز بأي شكل من الأشكال ضد العاملين أو المتقدمين للعمل في أي من عمليات الموارد البشرية، بما في ذلك التوظيف والأجور والتطور الوظيفي وفرص التدريب وإنهاء الخدمة والتقاعد، بسبب الأصل الإثني أو العرق أو الدين أو المعتقد أو المذهب أو الجنس أو العمر أو الإعاقة الجسدية أو الذهنية أو التوجه الجنسي أو الحالة الاجتماعية أو اللغة أو الأصل الاجتماعي أو العضوية النقابية أو الرأي السياسي وغيرها.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حرية العاملين: </w:t>
      </w:r>
      <w:r>
        <w:rPr>
          <w:rFonts w:ascii="Calibri" w:hAnsi="Calibri" w:cs="Arial"/>
          <w:rtl/>
          <w:sz w:val="24"/>
          <w:szCs w:val="24"/>
        </w:rPr>
        <w:t xml:space="preserve">لا يجوز تقييد حرية تنقل أي عامل، ولا يجوز الاحتفاظ ببطاقات الهوية أو المستندات الشخصية. ولا يُسمح تحت أي ظرف بأي ممارسات تنطوي على العمل الجبري أو العمل تحت التهديد.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آلية الشكاوى: </w:t>
      </w:r>
      <w:r>
        <w:rPr>
          <w:rFonts w:ascii="Calibri" w:hAnsi="Calibri" w:cs="Arial"/>
          <w:rtl/>
          <w:sz w:val="24"/>
          <w:szCs w:val="24"/>
        </w:rPr>
        <w:t xml:space="preserve">يمكن الإبلاغ عن أي مخالفة تتعلق بالتمييز من خلال قنوات شكاوى آمنة وسرية. ويتم تقييم جميع الشكاوى بحيادية وإدارتها على أساس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ممارسات الموردين: </w:t>
      </w:r>
      <w:r>
        <w:rPr>
          <w:rFonts w:ascii="Calibri" w:hAnsi="Calibri" w:cs="Arial"/>
          <w:rtl/>
          <w:sz w:val="24"/>
          <w:szCs w:val="24"/>
        </w:rPr>
        <w:t xml:space="preserve">يُتوقع من الموردين الالتزام بمبادئ مكافحة التمييز. وفي حالة عدم المطابقة تُطبَّق الخطوات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التواصل مع المورد: </w:t>
      </w:r>
      <w:r>
        <w:rPr>
          <w:rFonts w:ascii="Calibri" w:hAnsi="Calibri" w:cs="Arial"/>
          <w:rtl/>
          <w:sz w:val="24"/>
          <w:szCs w:val="24"/>
        </w:rPr>
        <w:t xml:space="preserve">تُعقد اجتماعات مع المورد وتُنفَّذ أنشطة تدريب وتوعية حول الموضوع لضمان إلمام العاملين بمنع التمييز، ويُتابَع بشكل دوري من خلال مقابلات العاملين ما إذا كانت هناك أي حالة مخالفة.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عملية التحسين: </w:t>
      </w:r>
      <w:r>
        <w:rPr>
          <w:rFonts w:ascii="Calibri" w:hAnsi="Calibri" w:cs="Arial"/>
          <w:rtl/>
          <w:sz w:val="24"/>
          <w:szCs w:val="24"/>
        </w:rPr>
        <w:t xml:space="preserve">تُقدَّم خطة إجراءات تصحيحية للموردين الذين ثبت عدم مطابقتهم. وفي حالة استمرار المخالفات قد تتم مراجعة علاقة التعاون.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التدريب: </w:t>
      </w:r>
      <w:r>
        <w:rPr>
          <w:rFonts w:ascii="Calibri" w:hAnsi="Calibri" w:cs="Arial"/>
          <w:rtl/>
          <w:sz w:val="24"/>
          <w:szCs w:val="24"/>
        </w:rPr>
        <w:t xml:space="preserve">يتلقى جميع العاملين تدريباً حول "منع التمييز ومبادئ المساواة" ضمن "تدريب الامتثال الاجتماعي"، عند التعيين ومرة واحدة على الأقل سنوياً.</w:t>
      </w:r>
    </w:p>
    <w:p>
      <w:pPr>
        <w:pStyle w:val="ListeParagraf"/>
        <w:bidi/>
        <w:spacing w:before="80" w:after="40"/>
        <w:ind w:left="0" w:right="709"/>
      </w:pPr>
      <w:r>
        <w:rPr>
          <w:rFonts w:ascii="Calibri" w:hAnsi="Calibri" w:cs="Arial"/>
          <w:b/>
          <w:bCs/>
          <w:rtl/>
          <w:sz w:val="24"/>
          <w:szCs w:val="24"/>
        </w:rPr>
        <w:t xml:space="preserve">5.2 الجزاءات التأديبية</w:t>
      </w:r>
    </w:p>
    <w:p>
      <w:pPr>
        <w:pStyle w:val="ListeParagraf"/>
        <w:bidi/>
        <w:spacing w:after="80"/>
        <w:ind w:left="0" w:right="709"/>
        <w:jc w:val="both"/>
      </w:pPr>
      <w:r>
        <w:rPr>
          <w:rFonts w:ascii="Calibri" w:hAnsi="Calibri" w:cs="Arial"/>
          <w:rtl/>
          <w:sz w:val="24"/>
          <w:szCs w:val="24"/>
        </w:rPr>
        <w:t xml:space="preserve">يتم تقييم مخالفات القواعد المتعلقة بالتمييز وفقاً لأحكام الإجراء التأديبي EG.İK.PRO.02.01. وفي هذا الإطار يمكن تطبيق جزاءات مثل التنبيه أو الإنذار الكتابي أو إنهاء عقد العمل حسب الحاجة.</w:t>
      </w:r>
    </w:p>
    <w:p>
      <w:pPr>
        <w:pStyle w:val="ListeParagraf"/>
        <w:bidi/>
        <w:spacing w:before="80" w:after="40"/>
        <w:ind w:left="0" w:right="709"/>
      </w:pPr>
      <w:r>
        <w:rPr>
          <w:rFonts w:ascii="Calibri" w:hAnsi="Calibri" w:cs="Arial"/>
          <w:b/>
          <w:bCs/>
          <w:rtl/>
          <w:sz w:val="24"/>
          <w:szCs w:val="24"/>
        </w:rPr>
        <w:t xml:space="preserve">5.3 المراجعة والتحديث</w:t>
      </w:r>
    </w:p>
    <w:p>
      <w:pPr>
        <w:pStyle w:val="ListeParagraf"/>
        <w:bidi/>
        <w:spacing w:after="80"/>
        <w:ind w:left="0" w:right="709"/>
        <w:jc w:val="both"/>
      </w:pPr>
      <w:r>
        <w:rPr>
          <w:rFonts w:ascii="Calibri" w:hAnsi="Calibri" w:cs="Arial"/>
          <w:rtl/>
          <w:sz w:val="24"/>
          <w:szCs w:val="24"/>
        </w:rPr>
        <w:t xml:space="preserve">تتم مراجعة هذا الإجراء وتحديثه مرة واحدة على الأقل سنوياً من قِبل إدارة الموارد البشرية والاستدامة، ويُعدَّل عند الحاجة وفقاً للتغييرات في القوانين واللوائح ذات الصلة.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PREVENTION OF DISCRIMINATION PROCEDURE</w:t>
          </w:r>
        </w:p>
        <w:p>
          <w:pPr>
            <w:pStyle w:val="GvdeMetni2"/>
            <w:bidi/>
            <w:spacing w:line="276" w:lineRule="auto"/>
            <w:jc w:val="center"/>
          </w:pPr>
          <w:r>
            <w:rPr>
              <w:rFonts w:asciiTheme="minorHAnsi" w:hAnsiTheme="minorHAnsi" w:cs="Arial"/>
              <w:b/>
              <w:bCs/>
              <w:color w:val="000000" w:themeColor="text1"/>
              <w:sz w:val="22"/>
              <w:szCs w:val="22"/>
              <w:rtl/>
            </w:rPr>
            <w:t>إجراء منع التمييز</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