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describes the methods for identifying and updating the compliance obligations applicable to the environmental aspects of Eroglu Knitting (EMS) and for maintaining access to these requirements.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 </w:t>
      </w:r>
      <w:r>
        <w:rPr>
          <w:rFonts w:ascii="Calibri" w:hAnsi="Calibri" w:cs="Arial"/>
          <w:sz w:val="24"/>
          <w:szCs w:val="24"/>
        </w:rPr>
        <w:t xml:space="preserve">OHS Risk Register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Obligations Register</w:t>
      </w:r>
    </w:p>
    <w:p>
      <w:pPr>
        <w:pStyle w:val="ListeParagraf"/>
        <w:spacing w:before="120" w:after="60"/>
        <w:ind w:left="709" w:right="0"/>
      </w:pPr>
      <w:r>
        <w:rPr>
          <w:rFonts w:ascii="Calibri" w:hAnsi="Calibri" w:cs="Arial"/>
          <w:b/>
          <w:bCs/>
          <w:sz w:val="24"/>
          <w:szCs w:val="24"/>
        </w:rPr>
        <w:t xml:space="preserve">3. RESPONSIBILITY</w:t>
      </w:r>
    </w:p>
    <w:p>
      <w:pPr>
        <w:pStyle w:val="ListeParagraf"/>
        <w:spacing w:before="80" w:after="40"/>
        <w:ind w:left="709" w:right="0"/>
      </w:pPr>
      <w:r>
        <w:rPr>
          <w:rFonts w:ascii="Calibri" w:hAnsi="Calibri" w:cs="Arial"/>
          <w:b/>
          <w:bCs/>
          <w:sz w:val="24"/>
          <w:szCs w:val="24"/>
        </w:rPr>
        <w:t xml:space="preserve">3.1 OHS Team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Establish and review the Compliance Obligations Register.</w:t>
      </w:r>
    </w:p>
    <w:p>
      <w:pPr>
        <w:pStyle w:val="ListeParagraf"/>
        <w:spacing w:before="80" w:after="40"/>
        <w:ind w:left="709" w:right="0"/>
      </w:pPr>
      <w:r>
        <w:rPr>
          <w:rFonts w:ascii="Calibri" w:hAnsi="Calibri" w:cs="Arial"/>
          <w:b/>
          <w:bCs/>
          <w:sz w:val="24"/>
          <w:szCs w:val="24"/>
        </w:rPr>
        <w:t xml:space="preserve">3.2 Management Representative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works together with the members of the EHS Team to maintain and update the Compliance Obligations Register.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Ensures that the updated register is available to relevant staff and that the relevant requirements listed in the register are accessible.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reviews the Register of Compliance Obligations with the team.</w:t>
      </w:r>
    </w:p>
    <w:p>
      <w:pPr>
        <w:pStyle w:val="ListeParagraf"/>
        <w:spacing w:before="80" w:after="40"/>
        <w:ind w:left="709" w:right="0"/>
      </w:pPr>
      <w:r>
        <w:rPr>
          <w:rFonts w:ascii="Calibri" w:hAnsi="Calibri" w:cs="Arial"/>
          <w:b/>
          <w:bCs/>
          <w:sz w:val="24"/>
          <w:szCs w:val="24"/>
        </w:rPr>
        <w:t xml:space="preserve">3.3 Department Heads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Department heads inform the members of the H&amp;S Team of any changes to the health and safety aspects relevant to the operations of their department.</w:t>
      </w:r>
    </w:p>
    <w:p>
      <w:pPr>
        <w:pStyle w:val="ListeParagraf"/>
        <w:spacing w:before="120" w:after="60"/>
        <w:ind w:left="709" w:right="0"/>
      </w:pPr>
      <w:r>
        <w:rPr>
          <w:rFonts w:ascii="Calibri" w:hAnsi="Calibri" w:cs="Arial"/>
          <w:b/>
          <w:bCs/>
          <w:sz w:val="24"/>
          <w:szCs w:val="24"/>
        </w:rPr>
        <w:t xml:space="preserve">4.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H&amp;S Team identifies the relevant compliance obligations applicable to occupational health and safety and determines how these requirements apply to its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maintains the Compliance Obligations Register (EMS/OHS/R04) and ensures that all information listed in the register is available and accessible.</w:t>
      </w:r>
    </w:p>
    <w:p>
      <w:pPr>
        <w:pStyle w:val="ListeParagraf"/>
        <w:spacing w:after="80"/>
        <w:ind w:left="709" w:right="0"/>
        <w:jc w:val="both"/>
      </w:pPr>
      <w:r>
        <w:rPr>
          <w:rFonts w:ascii="Calibri" w:hAnsi="Calibri" w:cs="Arial"/>
          <w:sz w:val="24"/>
          <w:szCs w:val="24"/>
        </w:rPr>
        <w:t xml:space="preserve">Information in the register for each requirement shall include, but not be limited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title and description of the legal/other requirement;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application of the requirement; and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relevant licenses/compliance records required (registrations, noise level measurements).</w:t>
      </w:r>
    </w:p>
    <w:p>
      <w:pPr>
        <w:pStyle w:val="ListeParagraf"/>
        <w:spacing w:after="80"/>
        <w:ind w:left="709" w:right="0"/>
        <w:jc w:val="both"/>
      </w:pPr>
      <w:r>
        <w:rPr>
          <w:rFonts w:ascii="Calibri" w:hAnsi="Calibri" w:cs="Arial"/>
          <w:sz w:val="24"/>
          <w:szCs w:val="24"/>
        </w:rPr>
        <w:t xml:space="preserve">The MR regularly (once a month) sources updated information by accessing the websites listed in Table 1 below, or contacts the legal authorities and other authorities once every three months to obtain new legal requirements.</w:t>
      </w:r>
    </w:p>
    <w:p>
      <w:pPr>
        <w:pStyle w:val="ListeParagraf"/>
        <w:spacing w:before="80" w:after="40"/>
        <w:ind w:left="709" w:right="0"/>
      </w:pPr>
      <w:r>
        <w:rPr>
          <w:rFonts w:ascii="Calibri" w:hAnsi="Calibri" w:cs="Arial"/>
          <w:b/>
          <w:bCs/>
          <w:sz w:val="24"/>
          <w:szCs w:val="24"/>
        </w:rPr>
        <w:t xml:space="preserve">Table 1: Contact Details of Legal Authorities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w:t>
      </w:r>
      <w:r>
        <w:rPr>
          <w:rFonts w:ascii="Calibri" w:hAnsi="Calibri" w:cs="Arial"/>
          <w:sz w:val="24"/>
          <w:szCs w:val="24"/>
        </w:rPr>
        <w:t xml:space="preserve">Authority: Department of Labour; Website: http://www.labourdept.gov.lk/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w:t>
      </w:r>
      <w:r>
        <w:rPr>
          <w:rFonts w:ascii="Calibri" w:hAnsi="Calibri" w:cs="Arial"/>
          <w:sz w:val="24"/>
          <w:szCs w:val="24"/>
        </w:rPr>
        <w:t xml:space="preserve">Authority: National Institute of Occupational Health and Safety; Website: http://www.niosh.gov.lk/</w:t>
      </w:r>
    </w:p>
    <w:p>
      <w:pPr>
        <w:pStyle w:val="ListeParagraf"/>
        <w:spacing w:after="80"/>
        <w:ind w:left="709" w:right="0"/>
        <w:jc w:val="both"/>
      </w:pPr>
      <w:r>
        <w:rPr>
          <w:rFonts w:ascii="Calibri" w:hAnsi="Calibri" w:cs="Arial"/>
          <w:sz w:val="24"/>
          <w:szCs w:val="24"/>
        </w:rPr>
        <w:t xml:space="preserve">The MR ensures that the most up-to-date copies of the requirements are available to the relevant personnel. Directions are also provided to the soft copies of the requirements on the relevant websites where they are available on the internet.</w:t>
      </w:r>
    </w:p>
    <w:p>
      <w:pPr>
        <w:pStyle w:val="ListeParagraf"/>
        <w:spacing w:after="80"/>
        <w:ind w:left="709" w:right="0"/>
        <w:jc w:val="both"/>
      </w:pPr>
      <w:r>
        <w:rPr>
          <w:rFonts w:ascii="Calibri" w:hAnsi="Calibri" w:cs="Arial"/>
          <w:sz w:val="24"/>
          <w:szCs w:val="24"/>
        </w:rPr>
        <w:t xml:space="preserve">The MR ensures that the applicable compliance obligations are considered in establishing, implementing and maintaining the OHS Management System.</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Compliance Obligations Register: </w:t>
      </w:r>
      <w:r>
        <w:rPr>
          <w:rFonts w:ascii="Calibri" w:hAnsi="Calibri" w:cs="Arial"/>
          <w:sz w:val="24"/>
          <w:szCs w:val="24"/>
        </w:rPr>
        <w:t xml:space="preserve">Retention responsibility: MR; Minimum retention time: Revise &amp; maintain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يصف هذا الإجراء طرق تحديد وتحديث التزامات الامتثال المنطبقة على الجوانب البيئية لشركة إيروغلو للتريكو (EMS)، والحفاظ على إمكانية الوصول إلى هذه المتطلبات.</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 </w:t>
      </w:r>
      <w:r>
        <w:rPr>
          <w:rFonts w:ascii="Calibri" w:hAnsi="Calibri" w:cs="Arial"/>
          <w:rtl/>
          <w:sz w:val="24"/>
          <w:szCs w:val="24"/>
        </w:rPr>
        <w:t xml:space="preserve">سجل مخاطر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التزامات الامتثال</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before="80" w:after="40"/>
        <w:ind w:left="0" w:right="709"/>
      </w:pPr>
      <w:r>
        <w:rPr>
          <w:rFonts w:ascii="Calibri" w:hAnsi="Calibri" w:cs="Arial"/>
          <w:b/>
          <w:bCs/>
          <w:rtl/>
          <w:sz w:val="24"/>
          <w:szCs w:val="24"/>
        </w:rPr>
        <w:t xml:space="preserve">3.1 فريق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إنشاء سجل التزامات الامتثال ومراجعته.</w:t>
      </w:r>
    </w:p>
    <w:p>
      <w:pPr>
        <w:pStyle w:val="ListeParagraf"/>
        <w:bidi/>
        <w:spacing w:before="80" w:after="40"/>
        <w:ind w:left="0" w:right="709"/>
      </w:pPr>
      <w:r>
        <w:rPr>
          <w:rFonts w:ascii="Calibri" w:hAnsi="Calibri" w:cs="Arial"/>
          <w:b/>
          <w:bCs/>
          <w:rtl/>
          <w:sz w:val="24"/>
          <w:szCs w:val="24"/>
        </w:rPr>
        <w:t xml:space="preserve">3.2 ممثل الإدارة (MR)</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يعمل ممثل الإدارة مع أعضاء فريق البيئة والصحة والسلامة على الحفاظ على سجل التزامات الامتثال وتحديثه.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توفر السجل المحدَّث للموظفين المعنيين وإمكانية الوصول إلى المتطلبات ذات الصلة المدرجة فيه.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يراجع ممثل الإدارة سجل التزامات الامتثال مع الفريق.</w:t>
      </w:r>
    </w:p>
    <w:p>
      <w:pPr>
        <w:pStyle w:val="ListeParagraf"/>
        <w:bidi/>
        <w:spacing w:before="80" w:after="40"/>
        <w:ind w:left="0" w:right="709"/>
      </w:pPr>
      <w:r>
        <w:rPr>
          <w:rFonts w:ascii="Calibri" w:hAnsi="Calibri" w:cs="Arial"/>
          <w:b/>
          <w:bCs/>
          <w:rtl/>
          <w:sz w:val="24"/>
          <w:szCs w:val="24"/>
        </w:rPr>
        <w:t xml:space="preserve">3.3 رؤساء الأقسام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رؤساء الأقسام أعضاء فريق الصحة والسلامة بأي تغييرات في جوانب الصحة والسلامة المتعلقة بعمليات أقسامهم.</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يحدد فريق الصحة والسلامة التزامات الامتثال ذات الصلة المنطبقة على الصحة والسلامة المهنية، ويحدد كيفية تطبيق هذه المتطلبات على نظام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ممثل الإدارة بسجل التزامات الامتثال (EMS/OHS/R04)، ويضمن توفر جميع المعلومات المدرجة في السجل وإمكانية الوصول إليها.</w:t>
      </w:r>
    </w:p>
    <w:p>
      <w:pPr>
        <w:pStyle w:val="ListeParagraf"/>
        <w:bidi/>
        <w:spacing w:after="80"/>
        <w:ind w:left="0" w:right="709"/>
        <w:jc w:val="both"/>
      </w:pPr>
      <w:r>
        <w:rPr>
          <w:rFonts w:ascii="Calibri" w:hAnsi="Calibri" w:cs="Arial"/>
          <w:rtl/>
          <w:sz w:val="24"/>
          <w:szCs w:val="24"/>
        </w:rPr>
        <w:t xml:space="preserve">يجب أن تتضمن المعلومات الواردة في السجل لكل متطلب، على سبيل المثال لا الحصر،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عنوان المتطلب القانوني/المتطلبات الأخرى ووصفه؛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كيفية تطبيق المتطلب؛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التراخيص/سجلات الامتثال ذات الصلة المطلوبة (التسجيلات، قياسات مستوى الضوضاء).</w:t>
      </w:r>
    </w:p>
    <w:p>
      <w:pPr>
        <w:pStyle w:val="ListeParagraf"/>
        <w:bidi/>
        <w:spacing w:after="80"/>
        <w:ind w:left="0" w:right="709"/>
        <w:jc w:val="both"/>
      </w:pPr>
      <w:r>
        <w:rPr>
          <w:rFonts w:ascii="Calibri" w:hAnsi="Calibri" w:cs="Arial"/>
          <w:rtl/>
          <w:sz w:val="24"/>
          <w:szCs w:val="24"/>
        </w:rPr>
        <w:t xml:space="preserve">يقوم ممثل الإدارة بانتظام (مرة شهريًا) بالحصول على المعلومات المحدَّثة من خلال المواقع الإلكترونية الواردة في الجدول 1 أدناه، أو التواصل مع الجهات القانونية والجهات الأخرى مرة كل ثلاثة أشهر للحصول على المتطلبات القانونية الجديدة.</w:t>
      </w:r>
    </w:p>
    <w:p>
      <w:pPr>
        <w:pStyle w:val="ListeParagraf"/>
        <w:bidi/>
        <w:spacing w:before="80" w:after="40"/>
        <w:ind w:left="0" w:right="709"/>
      </w:pPr>
      <w:r>
        <w:rPr>
          <w:rFonts w:ascii="Calibri" w:hAnsi="Calibri" w:cs="Arial"/>
          <w:b/>
          <w:bCs/>
          <w:rtl/>
          <w:sz w:val="24"/>
          <w:szCs w:val="24"/>
        </w:rPr>
        <w:t xml:space="preserve">الجدول 1: بيانات الاتصال بالجهات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الصحة والسلامة المهنية: </w:t>
      </w:r>
      <w:r>
        <w:rPr>
          <w:rFonts w:ascii="Calibri" w:hAnsi="Calibri" w:cs="Arial"/>
          <w:rtl/>
          <w:sz w:val="24"/>
          <w:szCs w:val="24"/>
        </w:rPr>
        <w:t xml:space="preserve">الجهة: إدارة العمل؛ الموقع الإلكتروني: http://www.labourdept.gov.lk/</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الصحة والسلامة المهنية: </w:t>
      </w:r>
      <w:r>
        <w:rPr>
          <w:rFonts w:ascii="Calibri" w:hAnsi="Calibri" w:cs="Arial"/>
          <w:rtl/>
          <w:sz w:val="24"/>
          <w:szCs w:val="24"/>
        </w:rPr>
        <w:t xml:space="preserve">الجهة: المعهد الوطني للصحة والسلامة المهنية؛ الموقع الإلكتروني: http://www.niosh.gov.lk/</w:t>
      </w:r>
    </w:p>
    <w:p>
      <w:pPr>
        <w:pStyle w:val="ListeParagraf"/>
        <w:bidi/>
        <w:spacing w:after="80"/>
        <w:ind w:left="0" w:right="709"/>
        <w:jc w:val="both"/>
      </w:pPr>
      <w:r>
        <w:rPr>
          <w:rFonts w:ascii="Calibri" w:hAnsi="Calibri" w:cs="Arial"/>
          <w:rtl/>
          <w:sz w:val="24"/>
          <w:szCs w:val="24"/>
        </w:rPr>
        <w:t xml:space="preserve">يضمن ممثل الإدارة توفر أحدث نسخ المتطلبات للموظفين المعنيين، كما تُقدَّم إرشادات للوصول إلى النسخ الإلكترونية من المتطلبات على المواقع ذات الصلة متى كانت متاحة على الإنترنت.</w:t>
      </w:r>
    </w:p>
    <w:p>
      <w:pPr>
        <w:pStyle w:val="ListeParagraf"/>
        <w:bidi/>
        <w:spacing w:after="80"/>
        <w:ind w:left="0" w:right="709"/>
        <w:jc w:val="both"/>
      </w:pPr>
      <w:r>
        <w:rPr>
          <w:rFonts w:ascii="Calibri" w:hAnsi="Calibri" w:cs="Arial"/>
          <w:rtl/>
          <w:sz w:val="24"/>
          <w:szCs w:val="24"/>
        </w:rPr>
        <w:t xml:space="preserve">يضمن ممثل الإدارة مراعاة التزامات الامتثال المنطبقة عند إنشاء نظام إدارة الصحة والسلامة المهنية وتطبيقه والحفاظ عليه.</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التزامات الامتثال: </w:t>
      </w:r>
      <w:r>
        <w:rPr>
          <w:rFonts w:ascii="Calibri" w:hAnsi="Calibri" w:cs="Arial"/>
          <w:rtl/>
          <w:sz w:val="24"/>
          <w:szCs w:val="24"/>
        </w:rPr>
        <w:t xml:space="preserve">مسؤولية الحفظ: ممثل الإدارة؛ الحد الأدنى لمدة الحفظ: المراجعة والحفظ المستمر</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PROCEDURE FOR IDENTIFICATION OF LEGAL AND OTHER COMPLIANCE OBLIGATIONS</w:t>
          </w:r>
        </w:p>
        <w:p>
          <w:pPr>
            <w:pStyle w:val="GvdeMetni2"/>
            <w:bidi/>
            <w:spacing w:line="276" w:lineRule="auto"/>
            <w:jc w:val="center"/>
          </w:pPr>
          <w:r>
            <w:rPr>
              <w:rFonts w:asciiTheme="minorHAnsi" w:hAnsiTheme="minorHAnsi" w:cs="Arial"/>
              <w:b/>
              <w:bCs/>
              <w:color w:val="000000" w:themeColor="text1"/>
              <w:sz w:val="22"/>
              <w:szCs w:val="22"/>
              <w:rtl/>
            </w:rPr>
            <w:t>إجراء تحديد التزامات الامتثال القانونية وغيرها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