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this process is to ensure that compliance with the relevant occupational health and safety and environmental legislation and regulations is evaluated on a periodic basis for Eroglu Knitting (EMS).</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before="120" w:after="60"/>
        <w:ind w:left="709" w:right="0"/>
      </w:pPr>
      <w:r>
        <w:rPr>
          <w:rFonts w:ascii="Calibri" w:hAnsi="Calibri" w:cs="Arial"/>
          <w:b/>
          <w:bCs/>
          <w:sz w:val="24"/>
          <w:szCs w:val="24"/>
        </w:rPr>
        <w:t xml:space="preserve">3. RESPONSIBILITY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Representative (MR): </w:t>
      </w:r>
      <w:r>
        <w:rPr>
          <w:rFonts w:ascii="Calibri" w:hAnsi="Calibri" w:cs="Arial"/>
          <w:sz w:val="24"/>
          <w:szCs w:val="24"/>
        </w:rPr>
        <w:t xml:space="preserve">Establishes, implements and maintains a procedure for periodically evaluating compliance with applicable compliance obligations.</w:t>
      </w:r>
    </w:p>
    <w:p>
      <w:pPr>
        <w:pStyle w:val="ListeParagraf"/>
        <w:spacing w:before="120" w:after="60"/>
        <w:ind w:left="709" w:right="0"/>
      </w:pPr>
      <w:r>
        <w:rPr>
          <w:rFonts w:ascii="Calibri" w:hAnsi="Calibri" w:cs="Arial"/>
          <w:b/>
          <w:bCs/>
          <w:sz w:val="24"/>
          <w:szCs w:val="24"/>
        </w:rPr>
        <w:t xml:space="preserve">4. PROCESS</w:t>
      </w:r>
    </w:p>
    <w:p>
      <w:pPr>
        <w:pStyle w:val="ListeParagraf"/>
        <w:spacing w:after="80"/>
        <w:ind w:left="709" w:right="0"/>
        <w:jc w:val="both"/>
      </w:pPr>
      <w:r>
        <w:rPr>
          <w:rFonts w:ascii="Calibri" w:hAnsi="Calibri" w:cs="Arial"/>
          <w:sz w:val="24"/>
          <w:szCs w:val="24"/>
        </w:rPr>
        <w:t xml:space="preserve">Conformity with compliance obligations is evaluated through internal and external assessments.</w:t>
      </w:r>
    </w:p>
    <w:p>
      <w:pPr>
        <w:pStyle w:val="ListeParagraf"/>
        <w:spacing w:after="80"/>
        <w:ind w:left="709" w:right="0"/>
        <w:jc w:val="both"/>
      </w:pPr>
      <w:r>
        <w:rPr>
          <w:rFonts w:ascii="Calibri" w:hAnsi="Calibri" w:cs="Arial"/>
          <w:sz w:val="24"/>
          <w:szCs w:val="24"/>
        </w:rPr>
        <w:t xml:space="preserve">Internal and external assessments of EMS are conducted by the OHS Team, as required by the compliance requirements, as part of their regular management, checking and corrective action functions.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Internal: </w:t>
      </w:r>
      <w:r>
        <w:rPr>
          <w:rFonts w:ascii="Calibri" w:hAnsi="Calibri" w:cs="Arial"/>
          <w:sz w:val="24"/>
          <w:szCs w:val="24"/>
        </w:rPr>
        <w:t xml:space="preserve">Periodic review of compliance evaluation by the MR and the OHS team;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External: </w:t>
      </w:r>
      <w:r>
        <w:rPr>
          <w:rFonts w:ascii="Calibri" w:hAnsi="Calibri" w:cs="Arial"/>
          <w:sz w:val="24"/>
          <w:szCs w:val="24"/>
        </w:rPr>
        <w:t xml:space="preserve">Certification audits by third parties; customer/authority evaluations.</w:t>
      </w:r>
    </w:p>
    <w:p>
      <w:pPr>
        <w:pStyle w:val="ListeParagraf"/>
        <w:spacing w:after="80"/>
        <w:ind w:left="709" w:right="0"/>
        <w:jc w:val="both"/>
      </w:pPr>
      <w:r>
        <w:rPr>
          <w:rFonts w:ascii="Calibri" w:hAnsi="Calibri" w:cs="Arial"/>
          <w:sz w:val="24"/>
          <w:szCs w:val="24"/>
        </w:rPr>
        <w:t xml:space="preserve">The primary purpose of the assessments is to evaluate compliance with the relevant OHS and environmental legislation and regulations and to proactively identify and correct potential deviations from operational controls, thereby preventing or minimizing environmental degradation, accidents and incidents within the organization.</w:t>
      </w:r>
    </w:p>
    <w:p>
      <w:pPr>
        <w:pStyle w:val="ListeParagraf"/>
        <w:spacing w:after="80"/>
        <w:ind w:left="709" w:right="0"/>
        <w:jc w:val="both"/>
      </w:pPr>
      <w:r>
        <w:rPr>
          <w:rFonts w:ascii="Calibri" w:hAnsi="Calibri" w:cs="Arial"/>
          <w:sz w:val="24"/>
          <w:szCs w:val="24"/>
        </w:rPr>
        <w:t xml:space="preserve">The MR maintains the Monitoring and Measurement Records and the Compliance Evaluation Assessment Record (EMS OHS R13), covering all compliance requirements of EMS, and checks whether the requirements are met.</w:t>
      </w:r>
    </w:p>
    <w:p>
      <w:pPr>
        <w:pStyle w:val="ListeParagraf"/>
        <w:spacing w:after="80"/>
        <w:ind w:left="709" w:right="0"/>
        <w:jc w:val="both"/>
      </w:pPr>
      <w:r>
        <w:rPr>
          <w:rFonts w:ascii="Calibri" w:hAnsi="Calibri" w:cs="Arial"/>
          <w:sz w:val="24"/>
          <w:szCs w:val="24"/>
        </w:rPr>
        <w:t xml:space="preserve">If the compliance status is reported as "not complying", the necessary actions are taken in consultation with the relevant department heads.</w:t>
      </w:r>
    </w:p>
    <w:p>
      <w:pPr>
        <w:pStyle w:val="ListeParagraf"/>
        <w:spacing w:after="80"/>
        <w:ind w:left="709" w:right="0"/>
        <w:jc w:val="both"/>
      </w:pPr>
      <w:r>
        <w:rPr>
          <w:rFonts w:ascii="Calibri" w:hAnsi="Calibri" w:cs="Arial"/>
          <w:sz w:val="24"/>
          <w:szCs w:val="24"/>
        </w:rPr>
        <w:t xml:space="preserve">The authorities are contacted for further advice in case of any difficulty in meeting the compliance requirements.</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 OHS R13: </w:t>
      </w:r>
      <w:r>
        <w:rPr>
          <w:rFonts w:ascii="Calibri" w:hAnsi="Calibri" w:cs="Arial"/>
          <w:sz w:val="24"/>
          <w:szCs w:val="24"/>
        </w:rPr>
        <w:t xml:space="preserve">Monitoring and Measurement Records and Compliance Evaluation Assessment Record; Retention responsibility: MR; Minimum retention time: Revise and maintain</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الغرض من هذه العملية هو ضمان تقييم الامتثال للتشريعات واللوائح ذات الصلة بالصحة والسلامة المهنية والبيئة بصورة دورية في إيروغلو للتريكو (EMS).</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الصحة والسلامة المهنية</w:t>
      </w:r>
    </w:p>
    <w:p>
      <w:pPr>
        <w:pStyle w:val="ListeParagraf"/>
        <w:bidi/>
        <w:spacing w:before="120" w:after="60"/>
        <w:ind w:left="0" w:right="709"/>
      </w:pPr>
      <w:r>
        <w:rPr>
          <w:rFonts w:ascii="Calibri" w:hAnsi="Calibri" w:cs="Arial"/>
          <w:b/>
          <w:bCs/>
          <w:rtl/>
          <w:sz w:val="24"/>
          <w:szCs w:val="24"/>
        </w:rPr>
        <w:t xml:space="preserve">3. المسؤولية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ممثل الإدارة (MR): </w:t>
      </w:r>
      <w:r>
        <w:rPr>
          <w:rFonts w:ascii="Calibri" w:hAnsi="Calibri" w:cs="Arial"/>
          <w:rtl/>
          <w:sz w:val="24"/>
          <w:szCs w:val="24"/>
        </w:rPr>
        <w:t xml:space="preserve">وضع وتطبيق والمحافظة على إجراء للتقييم الدوري للامتثال لالتزامات الامتثال المعمول بها.</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after="80"/>
        <w:ind w:left="0" w:right="709"/>
        <w:jc w:val="both"/>
      </w:pPr>
      <w:r>
        <w:rPr>
          <w:rFonts w:ascii="Calibri" w:hAnsi="Calibri" w:cs="Arial"/>
          <w:rtl/>
          <w:sz w:val="24"/>
          <w:szCs w:val="24"/>
        </w:rPr>
        <w:t xml:space="preserve">يُقيَّم التوافق مع التزامات الامتثال من خلال تقييمات داخلية وخارجية.</w:t>
      </w:r>
    </w:p>
    <w:p>
      <w:pPr>
        <w:pStyle w:val="ListeParagraf"/>
        <w:bidi/>
        <w:spacing w:after="80"/>
        <w:ind w:left="0" w:right="709"/>
        <w:jc w:val="both"/>
      </w:pPr>
      <w:r>
        <w:rPr>
          <w:rFonts w:ascii="Calibri" w:hAnsi="Calibri" w:cs="Arial"/>
          <w:rtl/>
          <w:sz w:val="24"/>
          <w:szCs w:val="24"/>
        </w:rPr>
        <w:t xml:space="preserve">يُجري فريق الصحة والسلامة المهنية التقييمات الداخلية والخارجية لـ EMS وفقًا لما تقتضيه متطلبات الامتثال، وذلك ضمن مهامه المعتادة في الإدارة والتحقق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داخلي: </w:t>
      </w:r>
      <w:r>
        <w:rPr>
          <w:rFonts w:ascii="Calibri" w:hAnsi="Calibri" w:cs="Arial"/>
          <w:rtl/>
          <w:sz w:val="24"/>
          <w:szCs w:val="24"/>
        </w:rPr>
        <w:t xml:space="preserve">مراجعة دورية لتقييم الامتثال من قبل ممثل الإدارة وفريق الصحة والسلامة المهنية؛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خارجي: </w:t>
      </w:r>
      <w:r>
        <w:rPr>
          <w:rFonts w:ascii="Calibri" w:hAnsi="Calibri" w:cs="Arial"/>
          <w:rtl/>
          <w:sz w:val="24"/>
          <w:szCs w:val="24"/>
        </w:rPr>
        <w:t xml:space="preserve">عمليات تدقيق الشهادات من قبل أطراف ثالثة؛ تقييمات العملاء/الجهات الرسمية.</w:t>
      </w:r>
    </w:p>
    <w:p>
      <w:pPr>
        <w:pStyle w:val="ListeParagraf"/>
        <w:bidi/>
        <w:spacing w:after="80"/>
        <w:ind w:left="0" w:right="709"/>
        <w:jc w:val="both"/>
      </w:pPr>
      <w:r>
        <w:rPr>
          <w:rFonts w:ascii="Calibri" w:hAnsi="Calibri" w:cs="Arial"/>
          <w:rtl/>
          <w:sz w:val="24"/>
          <w:szCs w:val="24"/>
        </w:rPr>
        <w:t xml:space="preserve">يتمثل الغرض الرئيسي من التقييمات في تقييم الامتثال للتشريعات واللوائح ذات الصلة بالصحة والسلامة المهنية والبيئة، والتحديد الاستباقي لأي انحرافات محتملة عن الضوابط التشغيلية وتصحيحها، بما يمنع أو يقلل التدهور البيئي والحوادث والوقائع داخل المؤسسة.</w:t>
      </w:r>
    </w:p>
    <w:p>
      <w:pPr>
        <w:pStyle w:val="ListeParagraf"/>
        <w:bidi/>
        <w:spacing w:after="80"/>
        <w:ind w:left="0" w:right="709"/>
        <w:jc w:val="both"/>
      </w:pPr>
      <w:r>
        <w:rPr>
          <w:rFonts w:ascii="Calibri" w:hAnsi="Calibri" w:cs="Arial"/>
          <w:rtl/>
          <w:sz w:val="24"/>
          <w:szCs w:val="24"/>
        </w:rPr>
        <w:t xml:space="preserve">يحتفظ ممثل الإدارة بسجلات المراقبة والقياس وسجل تقييم الامتثال (EMS OHS R13) الذي يشمل جميع متطلبات الامتثال لدى EMS، ويتحقق من استيفاء هذه المتطلبات.</w:t>
      </w:r>
    </w:p>
    <w:p>
      <w:pPr>
        <w:pStyle w:val="ListeParagraf"/>
        <w:bidi/>
        <w:spacing w:after="80"/>
        <w:ind w:left="0" w:right="709"/>
        <w:jc w:val="both"/>
      </w:pPr>
      <w:r>
        <w:rPr>
          <w:rFonts w:ascii="Calibri" w:hAnsi="Calibri" w:cs="Arial"/>
          <w:rtl/>
          <w:sz w:val="24"/>
          <w:szCs w:val="24"/>
        </w:rPr>
        <w:t xml:space="preserve">إذا أُفيد بأن حالة الامتثال "غير ممتثل"، تُتخذ الإجراءات اللازمة بالتشاور مع رؤساء الإدارات المعنية.</w:t>
      </w:r>
    </w:p>
    <w:p>
      <w:pPr>
        <w:pStyle w:val="ListeParagraf"/>
        <w:bidi/>
        <w:spacing w:after="80"/>
        <w:ind w:left="0" w:right="709"/>
        <w:jc w:val="both"/>
      </w:pPr>
      <w:r>
        <w:rPr>
          <w:rFonts w:ascii="Calibri" w:hAnsi="Calibri" w:cs="Arial"/>
          <w:rtl/>
          <w:sz w:val="24"/>
          <w:szCs w:val="24"/>
        </w:rPr>
        <w:t xml:space="preserve">يتم التواصل مع الجهات الرسمية للحصول على مزيد من المشورة في حال وجود أي صعوبة في استيفاء متطلبات الامتثال.</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 OHS R13: </w:t>
      </w:r>
      <w:r>
        <w:rPr>
          <w:rFonts w:ascii="Calibri" w:hAnsi="Calibri" w:cs="Arial"/>
          <w:rtl/>
          <w:sz w:val="24"/>
          <w:szCs w:val="24"/>
        </w:rPr>
        <w:t xml:space="preserve">سجلات المراقبة والقياس وسجل تقييم الامتثال؛ مسؤولية الحفظ: ممثل الإدارة؛ الحد الأدنى لمدة الحفظ: يُراجع ويُحتفظ به</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COMPLIANCE EVALUATION PROCESS</w:t>
          </w:r>
        </w:p>
        <w:p>
          <w:pPr>
            <w:pStyle w:val="GvdeMetni2"/>
            <w:bidi/>
            <w:spacing w:line="276" w:lineRule="auto"/>
            <w:jc w:val="center"/>
          </w:pPr>
          <w:r>
            <w:rPr>
              <w:rFonts w:asciiTheme="minorHAnsi" w:hAnsiTheme="minorHAnsi" w:cs="Arial"/>
              <w:b/>
              <w:bCs/>
              <w:color w:val="000000" w:themeColor="text1"/>
              <w:sz w:val="22"/>
              <w:szCs w:val="22"/>
              <w:rtl/>
            </w:rPr>
            <w:t>عملية تقييم الامتثال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EMS.İS.PRO.18.19.</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