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ensure that internet access provided to visitors within company premises is managed securely, controlled effectively, and kept isolated from the company's internal information systems. It aims to prevent unauthorized access to the corporate network, minimize information security risks, and maintain compliance with CTPAT and information security requirements.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Eroglu Knitting (EMS) facilities, including offices, production areas, warehouses, and meeting rooms where internet access may be provided to visitors. It covers all forms of visitor internet connectivity, such as visitor Wi-Fi (guest network), lobby kiosks, and any other temporary or public internet access points made available to non-employees.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Information Technology (IT) Department: </w:t>
      </w:r>
      <w:r>
        <w:rPr>
          <w:rFonts w:ascii="Calibri" w:hAnsi="Calibri" w:cs="Arial"/>
          <w:sz w:val="24"/>
          <w:szCs w:val="24"/>
        </w:rPr>
        <w:t xml:space="preserve">Responsible for the setup, management, and security of the visitor Wi-Fi network. Ensures that the network operates in isolation from corporate systems and manages content filtering, logging, and data retention processes. The IT Department also conducts regular reviews of access logs and ensures that all security patches and configurations are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Administration / Security Department: </w:t>
      </w:r>
      <w:r>
        <w:rPr>
          <w:rFonts w:ascii="Calibri" w:hAnsi="Calibri" w:cs="Arial"/>
          <w:sz w:val="24"/>
          <w:szCs w:val="24"/>
        </w:rPr>
        <w:t xml:space="preserve">Ensures that all visitors entering the facility are properly registered and verified. Coordinates the assignment of a responsible sponsor for each visitor and ensures that visitors are informed of, and have accepted, the access terms before connecting to the network.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or Employees: </w:t>
      </w:r>
      <w:r>
        <w:rPr>
          <w:rFonts w:ascii="Calibri" w:hAnsi="Calibri" w:cs="Arial"/>
          <w:sz w:val="24"/>
          <w:szCs w:val="24"/>
        </w:rPr>
        <w:t xml:space="preserve">Responsible for the visitors they host within the organization. They must verify that the visitor's purpose, duration, and scope of access are appropriate. When the visit ends or access is no longer needed, sponsors must notify the IT Department to revoke access promptly.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Visitors: </w:t>
      </w:r>
      <w:r>
        <w:rPr>
          <w:rFonts w:ascii="Calibri" w:hAnsi="Calibri" w:cs="Arial"/>
          <w:sz w:val="24"/>
          <w:szCs w:val="24"/>
        </w:rPr>
        <w:t xml:space="preserve">Required to use the provided internet access only within the approved duration and scope. Visitors must accept the access terms before connecting, must not attempt to access corporate information systems, and must refrain from any actions that could compromise network security.</w:t>
      </w:r>
    </w:p>
    <w:p>
      <w:pPr>
        <w:pStyle w:val="ListeParagraf"/>
        <w:spacing w:before="120" w:after="60"/>
        <w:ind w:left="709" w:right="0"/>
      </w:pPr>
      <w:r>
        <w:rPr>
          <w:rFonts w:ascii="Calibri" w:hAnsi="Calibri" w:cs="Arial"/>
          <w:b/>
          <w:bCs/>
          <w:sz w:val="24"/>
          <w:szCs w:val="24"/>
        </w:rPr>
        <w:t xml:space="preserve">4. PRINCIPLES</w:t>
      </w:r>
    </w:p>
    <w:p>
      <w:pPr>
        <w:pStyle w:val="ListeParagraf"/>
        <w:spacing w:after="80"/>
        <w:ind w:left="709" w:right="0"/>
        <w:jc w:val="both"/>
      </w:pPr>
      <w:r>
        <w:rPr>
          <w:rFonts w:ascii="Calibri" w:hAnsi="Calibri" w:cs="Arial"/>
          <w:sz w:val="24"/>
          <w:szCs w:val="24"/>
        </w:rPr>
        <w:t xml:space="preserve">Visitor internet access is provided through a dedicated network segment that is restricted to internet connectivity only, in accordance with the company's information security standards. This network is completely separated from corporate systems physically and/or logically, using separate SSIDs/VLANs and firewall rules that block any local network access. Visitors are granted only the minimum level of access necessary for essential needs such as browsing the internet or joining online meetings. Each visitor session is assigned to a designated sponsor and linked to a unique identity or access code (voucher), ensuring full traceability and accountability of all network activities.</w:t>
      </w:r>
    </w:p>
    <w:p>
      <w:pPr>
        <w:pStyle w:val="ListeParagraf"/>
        <w:spacing w:after="80"/>
        <w:ind w:left="709" w:right="0"/>
        <w:jc w:val="both"/>
      </w:pPr>
      <w:r>
        <w:rPr>
          <w:rFonts w:ascii="Calibri" w:hAnsi="Calibri" w:cs="Arial"/>
          <w:sz w:val="24"/>
          <w:szCs w:val="24"/>
        </w:rPr>
        <w:t xml:space="preserve">All network traffic is subject to content filtering, logging, and data retention processes in compliance with legal and regulatory requirements. Before accessing the network, visitors are informed about system monitoring activities and must accept the terms of use through a captive portal, ensuring that access is provided transparently and in line with privacy principles.</w:t>
      </w:r>
    </w:p>
    <w:p>
      <w:pPr>
        <w:pStyle w:val="ListeParagraf"/>
        <w:spacing w:before="120" w:after="60"/>
        <w:ind w:left="709" w:right="0"/>
      </w:pPr>
      <w:r>
        <w:rPr>
          <w:rFonts w:ascii="Calibri" w:hAnsi="Calibri" w:cs="Arial"/>
          <w:b/>
          <w:bCs/>
          <w:sz w:val="24"/>
          <w:szCs w:val="24"/>
        </w:rPr>
        <w:t xml:space="preserve">5. APPLICATIONS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Segmentation: </w:t>
      </w:r>
      <w:r>
        <w:rPr>
          <w:rFonts w:ascii="Calibri" w:hAnsi="Calibri" w:cs="Arial"/>
          <w:sz w:val="24"/>
          <w:szCs w:val="24"/>
        </w:rPr>
        <w:t xml:space="preserve">A dedicated SSID/VLAN is used for visitor access. Client isolation is enabled so that guests cannot see each other's devices, and routing to corporate subnets is completely disabled.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Firewall: </w:t>
      </w:r>
      <w:r>
        <w:rPr>
          <w:rFonts w:ascii="Calibri" w:hAnsi="Calibri" w:cs="Arial"/>
          <w:sz w:val="24"/>
          <w:szCs w:val="24"/>
        </w:rPr>
        <w:t xml:space="preserve">Only outbound web and meeting ports are allowed. Inbound connections are blocked, and known risky ports (e.g., SMB, Telnet) are disabled. Rate limiting may be applied when necessary to ensure stable network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DNS and Web Filtering: </w:t>
      </w:r>
      <w:r>
        <w:rPr>
          <w:rFonts w:ascii="Calibri" w:hAnsi="Calibri" w:cs="Arial"/>
          <w:sz w:val="24"/>
          <w:szCs w:val="24"/>
        </w:rPr>
        <w:t xml:space="preserve">Secure DNS protocols (DoT/DoH, where supported) are implemented. Malware and command-and-control (C2) domains are blocked, and content is filtered based on predefined categories (e.g., adult content, piracy).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Authentication: </w:t>
      </w:r>
      <w:r>
        <w:rPr>
          <w:rFonts w:ascii="Calibri" w:hAnsi="Calibri" w:cs="Arial"/>
          <w:sz w:val="24"/>
          <w:szCs w:val="24"/>
        </w:rPr>
        <w:t xml:space="preserve">Network access is provided through a captive portal with voucher-based or SMS/email verification. Optional device registration (based on MAC address) can be applied for session-based tracking.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Encryption: </w:t>
      </w:r>
      <w:r>
        <w:rPr>
          <w:rFonts w:ascii="Calibri" w:hAnsi="Calibri" w:cs="Arial"/>
          <w:sz w:val="24"/>
          <w:szCs w:val="24"/>
        </w:rPr>
        <w:t xml:space="preserve">Visitor networks use WPA2-Enterprise or WPA2/WPA3-PSK encryption standards. The captive portal page is presented securely over HTTPS.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Logging: </w:t>
      </w:r>
      <w:r>
        <w:rPr>
          <w:rFonts w:ascii="Calibri" w:hAnsi="Calibri" w:cs="Arial"/>
          <w:sz w:val="24"/>
          <w:szCs w:val="24"/>
        </w:rPr>
        <w:t xml:space="preserve">DHCP leases, authentication events, NAT translations, DNS queries, and URL categories are logged and securely stored according to the organization's data retention schedule.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Bandwidth Management: </w:t>
      </w:r>
      <w:r>
        <w:rPr>
          <w:rFonts w:ascii="Calibri" w:hAnsi="Calibri" w:cs="Arial"/>
          <w:sz w:val="24"/>
          <w:szCs w:val="24"/>
        </w:rPr>
        <w:t xml:space="preserve">Per-client bandwidth limits may be applied to preserve business traffic. Real-time communications, such as online meetings, are prioritized through Quality of Service (QoS) policies.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Patching and Key Management: </w:t>
      </w:r>
      <w:r>
        <w:rPr>
          <w:rFonts w:ascii="Calibri" w:hAnsi="Calibri" w:cs="Arial"/>
          <w:sz w:val="24"/>
          <w:szCs w:val="24"/>
        </w:rPr>
        <w:t xml:space="preserve">Network controllers and access points are regularly updated. Wi-Fi passwords, portal keys, and access vouchers are rotated periodically, and any compromised credentials are revoked immediately.</w:t>
      </w:r>
    </w:p>
    <w:p>
      <w:pPr>
        <w:pStyle w:val="ListeParagraf"/>
        <w:spacing w:before="120" w:after="60"/>
        <w:ind w:left="709" w:right="0"/>
      </w:pPr>
      <w:r>
        <w:rPr>
          <w:rFonts w:ascii="Calibri" w:hAnsi="Calibri" w:cs="Arial"/>
          <w:b/>
          <w:bCs/>
          <w:sz w:val="24"/>
          <w:szCs w:val="24"/>
        </w:rPr>
        <w:t xml:space="preserve">6. ELIGIBILITY AND ACCESS LEVELS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Visitor: </w:t>
      </w:r>
      <w:r>
        <w:rPr>
          <w:rFonts w:ascii="Calibri" w:hAnsi="Calibri" w:cs="Arial"/>
          <w:sz w:val="24"/>
          <w:szCs w:val="24"/>
        </w:rPr>
        <w:t xml:space="preserve">Granted access for basic internet browsing and online conferencing. The default session duration is 8 hours.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Long-Term Visitor (e.g., onsite supplier): </w:t>
      </w:r>
      <w:r>
        <w:rPr>
          <w:rFonts w:ascii="Calibri" w:hAnsi="Calibri" w:cs="Arial"/>
          <w:sz w:val="24"/>
          <w:szCs w:val="24"/>
        </w:rPr>
        <w:t xml:space="preserve">May be granted access for up to 30 days, subject to monthly re-approval. Access remains strictly limited to the internet; no corporate system access is permitted.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Auditor / Regulator: </w:t>
      </w:r>
      <w:r>
        <w:rPr>
          <w:rFonts w:ascii="Calibri" w:hAnsi="Calibri" w:cs="Arial"/>
          <w:sz w:val="24"/>
          <w:szCs w:val="24"/>
        </w:rPr>
        <w:t xml:space="preserve">Granted the same level of access as standard visitors. Any exceptions, such as access to a specific portal or resource, require prior approval from the Information Security team and must be technically segregated from corporate systems.</w:t>
      </w:r>
    </w:p>
    <w:p>
      <w:pPr>
        <w:pStyle w:val="ListeParagraf"/>
        <w:spacing w:before="120" w:after="60"/>
        <w:ind w:left="709" w:right="0"/>
      </w:pPr>
      <w:r>
        <w:rPr>
          <w:rFonts w:ascii="Calibri" w:hAnsi="Calibri" w:cs="Arial"/>
          <w:b/>
          <w:bCs/>
          <w:sz w:val="24"/>
          <w:szCs w:val="24"/>
        </w:rPr>
        <w:t xml:space="preserve">7. PROHIBITED ACTIVITIES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Accessing or attempting to access the company's internal systems, devices, or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Circumventing or interfering with security controls, such as setting up unauthorized (rogue) access points, using tethering that bridges to the corporate LAN, or performing network traffic monitoring or packet sniffing.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Engaging in illegal activities, including copyright infringement, harassment, distribution of malware, hosting unauthorized content or services, or participating in peer-to-peer (P2P) file sharing.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Using unauthorized or unverified Internet of Things (IoT) devices, such as cameras or sensors, on the visitor network.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Using visitor access as a substitute for employee access, or attempting to bypass employee-level authentication and authorization controls.</w:t>
      </w:r>
    </w:p>
    <w:p>
      <w:pPr>
        <w:pStyle w:val="ListeParagraf"/>
        <w:spacing w:before="120" w:after="60"/>
        <w:ind w:left="709" w:right="0"/>
      </w:pPr>
      <w:r>
        <w:rPr>
          <w:rFonts w:ascii="Calibri" w:hAnsi="Calibri" w:cs="Arial"/>
          <w:b/>
          <w:bCs/>
          <w:sz w:val="24"/>
          <w:szCs w:val="24"/>
        </w:rPr>
        <w:t xml:space="preserve">8. PRIVACY NOTICE AND CONSENT</w:t>
      </w:r>
    </w:p>
    <w:p>
      <w:pPr>
        <w:pStyle w:val="ListeParagraf"/>
        <w:spacing w:after="80"/>
        <w:ind w:left="709" w:right="0"/>
        <w:jc w:val="both"/>
      </w:pPr>
      <w:r>
        <w:rPr>
          <w:rFonts w:ascii="Calibri" w:hAnsi="Calibri" w:cs="Arial"/>
          <w:sz w:val="24"/>
          <w:szCs w:val="24"/>
        </w:rPr>
        <w:t xml:space="preserve">Visitor network traffic is monitored and logged for security and legal compliance purposes.</w:t>
      </w:r>
    </w:p>
    <w:p>
      <w:pPr>
        <w:pStyle w:val="ListeParagraf"/>
        <w:spacing w:after="80"/>
        <w:ind w:left="709" w:right="0"/>
        <w:jc w:val="both"/>
      </w:pPr>
      <w:r>
        <w:rPr>
          <w:rFonts w:ascii="Calibri" w:hAnsi="Calibri" w:cs="Arial"/>
          <w:sz w:val="24"/>
          <w:szCs w:val="24"/>
        </w:rPr>
        <w:t xml:space="preserve">By connecting to the network, the visitor is deemed to have accepted the Terms of Use presented on the captive portal, which include monitoring, content filtering, and the required code of conduct.</w:t>
      </w:r>
    </w:p>
    <w:p>
      <w:pPr>
        <w:pStyle w:val="ListeParagraf"/>
        <w:spacing w:after="80"/>
        <w:ind w:left="709" w:right="0"/>
        <w:jc w:val="both"/>
      </w:pPr>
      <w:r>
        <w:rPr>
          <w:rFonts w:ascii="Calibri" w:hAnsi="Calibri" w:cs="Arial"/>
          <w:sz w:val="24"/>
          <w:szCs w:val="24"/>
        </w:rPr>
        <w:t xml:space="preserve">All logs are managed in accordance with Eroglu Knitting (EMS) data protection and data retention policies. Content inspection may be performed as part of malware detection and security monitoring activities.</w:t>
      </w:r>
    </w:p>
    <w:p>
      <w:pPr>
        <w:pStyle w:val="ListeParagraf"/>
        <w:spacing w:before="120" w:after="60"/>
        <w:ind w:left="709" w:right="0"/>
      </w:pPr>
      <w:r>
        <w:rPr>
          <w:rFonts w:ascii="Calibri" w:hAnsi="Calibri" w:cs="Arial"/>
          <w:b/>
          <w:bCs/>
          <w:sz w:val="24"/>
          <w:szCs w:val="24"/>
        </w:rPr>
        <w:t xml:space="preserve">9. DATA RETENTION</w:t>
      </w:r>
    </w:p>
    <w:p>
      <w:pPr>
        <w:pStyle w:val="ListeParagraf"/>
        <w:spacing w:after="80"/>
        <w:ind w:left="709" w:right="0"/>
        <w:jc w:val="both"/>
      </w:pPr>
      <w:r>
        <w:rPr>
          <w:rFonts w:ascii="Calibri" w:hAnsi="Calibri" w:cs="Arial"/>
          <w:sz w:val="24"/>
          <w:szCs w:val="24"/>
        </w:rPr>
        <w:t xml:space="preserve">Authentication, DHCP, NAT, DNS, and filtering logs are retained for the defined retention period (e.g., 90 days), unless a legal hold applies.</w:t>
      </w:r>
    </w:p>
    <w:p>
      <w:pPr>
        <w:pStyle w:val="ListeParagraf"/>
        <w:spacing w:after="80"/>
        <w:ind w:left="709" w:right="0"/>
        <w:jc w:val="both"/>
      </w:pPr>
      <w:r>
        <w:rPr>
          <w:rFonts w:ascii="Calibri" w:hAnsi="Calibri" w:cs="Arial"/>
          <w:sz w:val="24"/>
          <w:szCs w:val="24"/>
        </w:rPr>
        <w:t xml:space="preserve">Access to these logs is restricted to authorized personnel, and any disclosure requires approval from the Compliance or Legal Department.</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ضمان إدارة الوصول إلى الإنترنت المقدَّم للزوار داخل مباني الشركة بشكل آمن، والتحكم فيه بفعالية، وعزله عن أنظمة المعلومات الداخلية للشركة. كما يهدف إلى منع الوصول غير المصرح به إلى شبكة الشركة، وتقليل مخاطر أمن المعلومات، والحفاظ على الامتثال لمتطلبات برنامج CTPAT ومتطلبات أمن المعلومات.</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منشآت إيروغلو للتريكو (EMS)، بما في ذلك المكاتب ومناطق الإنتاج والمستودعات وقاعات الاجتماعات التي قد يُوفَّر فيها الوصول إلى الإنترنت للزوار. ويشمل جميع أشكال اتصال الزوار بالإنترنت، مثل شبكة Wi-Fi للزوار (شبكة الضيوف)، وأكشاك الاستقبال، وأي نقاط وصول مؤقتة أو عامة أخرى إلى الإنترنت متاحة لغير الموظفين.</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تكنولوجيا المعلومات (IT): </w:t>
      </w:r>
      <w:r>
        <w:rPr>
          <w:rFonts w:ascii="Calibri" w:hAnsi="Calibri" w:cs="Arial"/>
          <w:rtl/>
          <w:sz w:val="24"/>
          <w:szCs w:val="24"/>
        </w:rPr>
        <w:t xml:space="preserve">مسؤولة عن إعداد شبكة Wi-Fi للزوار وإدارتها وتأمينها. وتضمن تشغيل الشبكة بمعزل عن أنظمة الشركة، وتدير عمليات تصفية المحتوى وتسجيل الأحداث والاحتفاظ بالبيانات. كما تجري إدارة تكنولوجيا المعلومات مراجعات منتظمة لسجلات الوصول، وتضمن تحديث جميع التصحيحات الأمنية والإعدادات.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الإدارية / إدارة الأمن: </w:t>
      </w:r>
      <w:r>
        <w:rPr>
          <w:rFonts w:ascii="Calibri" w:hAnsi="Calibri" w:cs="Arial"/>
          <w:rtl/>
          <w:sz w:val="24"/>
          <w:szCs w:val="24"/>
        </w:rPr>
        <w:t xml:space="preserve">تضمن تسجيل جميع الزوار الداخلين إلى المنشأة والتحقق منهم بشكل صحيح. وتنسق تعيين مُضيف مسؤول لكل زائر، وتتأكد من إبلاغ الزوار بشروط الوصول وقبولهم لها قبل الاتصال بالشبكة.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الإدارات أو الموظفون: </w:t>
      </w:r>
      <w:r>
        <w:rPr>
          <w:rFonts w:ascii="Calibri" w:hAnsi="Calibri" w:cs="Arial"/>
          <w:rtl/>
          <w:sz w:val="24"/>
          <w:szCs w:val="24"/>
        </w:rPr>
        <w:t xml:space="preserve">مسؤولون عن الزوار الذين يستضيفونهم داخل المؤسسة. ويجب عليهم التحقق من ملاءمة غرض الزائر ومدة زيارته ونطاق وصوله. وعند انتهاء الزيارة أو انتفاء الحاجة إلى الوصول، يجب على المضيفين إخطار إدارة تكنولوجيا المعلومات لإلغاء الوصول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الزوار: </w:t>
      </w:r>
      <w:r>
        <w:rPr>
          <w:rFonts w:ascii="Calibri" w:hAnsi="Calibri" w:cs="Arial"/>
          <w:rtl/>
          <w:sz w:val="24"/>
          <w:szCs w:val="24"/>
        </w:rPr>
        <w:t xml:space="preserve">يجب عليهم استخدام الوصول إلى الإنترنت المقدَّم لهم ضمن المدة والنطاق المعتمدين فقط. ويجب على الزوار قبول شروط الوصول قبل الاتصال، وعدم محاولة الوصول إلى أنظمة معلومات الشركة، والامتناع عن أي تصرفات قد تعرّض أمن الشبكة للخطر.</w:t>
      </w:r>
    </w:p>
    <w:p>
      <w:pPr>
        <w:pStyle w:val="ListeParagraf"/>
        <w:bidi/>
        <w:spacing w:before="120" w:after="60"/>
        <w:ind w:left="0" w:right="709"/>
      </w:pPr>
      <w:r>
        <w:rPr>
          <w:rFonts w:ascii="Calibri" w:hAnsi="Calibri" w:cs="Arial"/>
          <w:b/>
          <w:bCs/>
          <w:rtl/>
          <w:sz w:val="24"/>
          <w:szCs w:val="24"/>
        </w:rPr>
        <w:t xml:space="preserve">4. المبادئ</w:t>
      </w:r>
    </w:p>
    <w:p>
      <w:pPr>
        <w:pStyle w:val="ListeParagraf"/>
        <w:bidi/>
        <w:spacing w:after="80"/>
        <w:ind w:left="0" w:right="709"/>
        <w:jc w:val="both"/>
      </w:pPr>
      <w:r>
        <w:rPr>
          <w:rFonts w:ascii="Calibri" w:hAnsi="Calibri" w:cs="Arial"/>
          <w:rtl/>
          <w:sz w:val="24"/>
          <w:szCs w:val="24"/>
        </w:rPr>
        <w:t xml:space="preserve">يُوفَّر وصول الزوار إلى الإنترنت من خلال جزء شبكي مخصص يقتصر على الاتصال بالإنترنت فقط، وفقًا لمعايير أمن المعلومات في الشركة. وتُفصل هذه الشبكة فصلًا تامًا عن أنظمة الشركة ماديًا و/أو منطقيًا، باستخدام معرّفات SSID/VLAN منفصلة وقواعد جدار حماية تمنع أي وصول إلى الشبكة المحلية. ولا يُمنح الزوار إلا الحد الأدنى من الوصول اللازم للاحتياجات الأساسية مثل تصفح الإنترنت أو الانضمام إلى الاجتماعات عبر الإنترنت. وتُخصَّص كل جلسة زائر لمضيف محدد وتُربط بهوية فريدة أو رمز وصول (قسيمة)، بما يضمن التتبع الكامل والمساءلة عن جميع أنشطة الشبكة.</w:t>
      </w:r>
    </w:p>
    <w:p>
      <w:pPr>
        <w:pStyle w:val="ListeParagraf"/>
        <w:bidi/>
        <w:spacing w:after="80"/>
        <w:ind w:left="0" w:right="709"/>
        <w:jc w:val="both"/>
      </w:pPr>
      <w:r>
        <w:rPr>
          <w:rFonts w:ascii="Calibri" w:hAnsi="Calibri" w:cs="Arial"/>
          <w:rtl/>
          <w:sz w:val="24"/>
          <w:szCs w:val="24"/>
        </w:rPr>
        <w:t xml:space="preserve">تخضع جميع حركة البيانات على الشبكة لعمليات تصفية المحتوى وتسجيل الأحداث والاحتفاظ بالبيانات وفقًا للمتطلبات القانونية والتنظيمية. وقبل الوصول إلى الشبكة، يُبلَّغ الزوار بأنشطة مراقبة النظام، ويجب عليهم قبول شروط الاستخدام من خلال بوابة الدخول (Captive Portal)، بما يضمن توفير الوصول بشفافية وبما يتوافق مع مبادئ الخصوصية.</w:t>
      </w:r>
    </w:p>
    <w:p>
      <w:pPr>
        <w:pStyle w:val="ListeParagraf"/>
        <w:bidi/>
        <w:spacing w:before="120" w:after="60"/>
        <w:ind w:left="0" w:right="709"/>
      </w:pPr>
      <w:r>
        <w:rPr>
          <w:rFonts w:ascii="Calibri" w:hAnsi="Calibri" w:cs="Arial"/>
          <w:b/>
          <w:bCs/>
          <w:rtl/>
          <w:sz w:val="24"/>
          <w:szCs w:val="24"/>
        </w:rPr>
        <w:t xml:space="preserve">5. التطبيقات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التقسيم الشبكي: </w:t>
      </w:r>
      <w:r>
        <w:rPr>
          <w:rFonts w:ascii="Calibri" w:hAnsi="Calibri" w:cs="Arial"/>
          <w:rtl/>
          <w:sz w:val="24"/>
          <w:szCs w:val="24"/>
        </w:rPr>
        <w:t xml:space="preserve">يُستخدم معرّف SSID/VLAN مخصص لوصول الزوار. ويُفعَّل عزل العملاء بحيث لا يتمكن الضيوف من رؤية أجهزة بعضهم البعض، ويُعطَّل التوجيه إلى الشبكات الفرعية للشركة تعطيلًا تامًا.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جدار الحماية: </w:t>
      </w:r>
      <w:r>
        <w:rPr>
          <w:rFonts w:ascii="Calibri" w:hAnsi="Calibri" w:cs="Arial"/>
          <w:rtl/>
          <w:sz w:val="24"/>
          <w:szCs w:val="24"/>
        </w:rPr>
        <w:t xml:space="preserve">يُسمح فقط بمنافذ الويب والاجتماعات الصادرة. وتُحظر الاتصالات الواردة، وتُعطَّل المنافذ المعروفة بخطورتها (مثل SMB وTelnet). ويجوز تطبيق تحديد معدل النقل عند الضرورة لضمان استقرار أداء الشبكة.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أسماء النطاقات (DNS) وتصفية الويب: </w:t>
      </w:r>
      <w:r>
        <w:rPr>
          <w:rFonts w:ascii="Calibri" w:hAnsi="Calibri" w:cs="Arial"/>
          <w:rtl/>
          <w:sz w:val="24"/>
          <w:szCs w:val="24"/>
        </w:rPr>
        <w:t xml:space="preserve">تُطبَّق بروتوكولات DNS الآمنة (DoT/DoH حيثما كانت مدعومة). وتُحظر نطاقات البرمجيات الضارة ونطاقات القيادة والتحكم (C2)، ويُصفّى المحتوى بناءً على فئات محددة مسبقًا (مثل المحتوى الإباحي والقرصنة).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الهوية: </w:t>
      </w:r>
      <w:r>
        <w:rPr>
          <w:rFonts w:ascii="Calibri" w:hAnsi="Calibri" w:cs="Arial"/>
          <w:rtl/>
          <w:sz w:val="24"/>
          <w:szCs w:val="24"/>
        </w:rPr>
        <w:t xml:space="preserve">يُوفَّر الوصول إلى الشبكة من خلال بوابة دخول مع تحقق قائم على القسائم أو عبر الرسائل النصية/البريد الإلكتروني. ويمكن تطبيق تسجيل اختياري للأجهزة (بناءً على عنوان MAC) للتتبع على مستوى الجلسة.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التشفير: </w:t>
      </w:r>
      <w:r>
        <w:rPr>
          <w:rFonts w:ascii="Calibri" w:hAnsi="Calibri" w:cs="Arial"/>
          <w:rtl/>
          <w:sz w:val="24"/>
          <w:szCs w:val="24"/>
        </w:rPr>
        <w:t xml:space="preserve">تستخدم شبكات الزوار معايير التشفير WPA2-Enterprise أو WPA2/WPA3-PSK. وتُعرض صفحة بوابة الدخول بشكل آمن عبر بروتوكول HTTPS.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تسجيل الأحداث: </w:t>
      </w:r>
      <w:r>
        <w:rPr>
          <w:rFonts w:ascii="Calibri" w:hAnsi="Calibri" w:cs="Arial"/>
          <w:rtl/>
          <w:sz w:val="24"/>
          <w:szCs w:val="24"/>
        </w:rPr>
        <w:t xml:space="preserve">تُسجَّل عقود تأجير DHCP، وأحداث التحقق من الهوية، وعمليات ترجمة NAT، واستعلامات DNS، وفئات عناوين URL، وتُخزَّن بشكل آمن وفقًا لجدول الاحتفاظ بالبيانات في المؤسسة.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النطاق الترددي: </w:t>
      </w:r>
      <w:r>
        <w:rPr>
          <w:rFonts w:ascii="Calibri" w:hAnsi="Calibri" w:cs="Arial"/>
          <w:rtl/>
          <w:sz w:val="24"/>
          <w:szCs w:val="24"/>
        </w:rPr>
        <w:t xml:space="preserve">يجوز تطبيق حدود للنطاق الترددي لكل عميل للحفاظ على حركة بيانات العمل. وتُعطى الأولوية للاتصالات الفورية، مثل الاجتماعات عبر الإنترنت، من خلال سياسات جودة الخدمة (QoS).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التحديثات وإدارة المفاتيح: </w:t>
      </w:r>
      <w:r>
        <w:rPr>
          <w:rFonts w:ascii="Calibri" w:hAnsi="Calibri" w:cs="Arial"/>
          <w:rtl/>
          <w:sz w:val="24"/>
          <w:szCs w:val="24"/>
        </w:rPr>
        <w:t xml:space="preserve">تُحدَّث وحدات التحكم في الشبكة ونقاط الوصول بانتظام. وتُغيَّر كلمات مرور Wi-Fi ومفاتيح البوابة وقسائم الوصول دوريًا، ويُلغى فورًا أي بيانات اعتماد تعرضت للاختراق.</w:t>
      </w:r>
    </w:p>
    <w:p>
      <w:pPr>
        <w:pStyle w:val="ListeParagraf"/>
        <w:bidi/>
        <w:spacing w:before="120" w:after="60"/>
        <w:ind w:left="0" w:right="709"/>
      </w:pPr>
      <w:r>
        <w:rPr>
          <w:rFonts w:ascii="Calibri" w:hAnsi="Calibri" w:cs="Arial"/>
          <w:b/>
          <w:bCs/>
          <w:rtl/>
          <w:sz w:val="24"/>
          <w:szCs w:val="24"/>
        </w:rPr>
        <w:t xml:space="preserve">6. الأهلية ومستويات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الزائر العادي: </w:t>
      </w:r>
      <w:r>
        <w:rPr>
          <w:rFonts w:ascii="Calibri" w:hAnsi="Calibri" w:cs="Arial"/>
          <w:rtl/>
          <w:sz w:val="24"/>
          <w:szCs w:val="24"/>
        </w:rPr>
        <w:t xml:space="preserve">يُمنح الوصول لتصفح الإنترنت الأساسي والمؤتمرات عبر الإنترنت. والمدة الافتراضية للجلسة 8 ساعات.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الزائر طويل الأمد (مثل المورد المتواجد في الموقع): </w:t>
      </w:r>
      <w:r>
        <w:rPr>
          <w:rFonts w:ascii="Calibri" w:hAnsi="Calibri" w:cs="Arial"/>
          <w:rtl/>
          <w:sz w:val="24"/>
          <w:szCs w:val="24"/>
        </w:rPr>
        <w:t xml:space="preserve">يجوز منحه الوصول لمدة تصل إلى 30 يومًا، مع إعادة الاعتماد شهريًا. ويظل الوصول مقتصرًا على الإنترنت فقط، ولا يُسمح بأي وصول إلى أنظمة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المدقق / الجهة الرقابية: </w:t>
      </w:r>
      <w:r>
        <w:rPr>
          <w:rFonts w:ascii="Calibri" w:hAnsi="Calibri" w:cs="Arial"/>
          <w:rtl/>
          <w:sz w:val="24"/>
          <w:szCs w:val="24"/>
        </w:rPr>
        <w:t xml:space="preserve">يُمنح مستوى الوصول نفسه الممنوح للزوار العاديين. وتتطلب أي استثناءات، مثل الوصول إلى بوابة أو مورد محدد، موافقة مسبقة من فريق أمن المعلومات، ويجب فصلها تقنيًا عن أنظمة الشركة.</w:t>
      </w:r>
    </w:p>
    <w:p>
      <w:pPr>
        <w:pStyle w:val="ListeParagraf"/>
        <w:bidi/>
        <w:spacing w:before="120" w:after="60"/>
        <w:ind w:left="0" w:right="709"/>
      </w:pPr>
      <w:r>
        <w:rPr>
          <w:rFonts w:ascii="Calibri" w:hAnsi="Calibri" w:cs="Arial"/>
          <w:b/>
          <w:bCs/>
          <w:rtl/>
          <w:sz w:val="24"/>
          <w:szCs w:val="24"/>
        </w:rPr>
        <w:t xml:space="preserve">7. الأنشطة المحظورة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الوصول أو محاولة الوصول إلى الأنظمة أو الأجهزة أو الخدمات الداخلية للشركة.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التحايل على ضوابط الأمن أو التدخل فيها، مثل إنشاء نقاط وصول غير مصرح بها (دخيلة)، أو استخدام مشاركة الاتصال التي تربط بالشبكة المحلية للشركة، أو مراقبة حركة بيانات الشبكة أو التقاط الحزم.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الانخراط في أنشطة غير قانونية، بما في ذلك انتهاك حقوق النشر، أو التحرش، أو توزيع البرمجيات الضارة، أو استضافة محتوى أو خدمات غير مصرح بها، أو المشاركة في تبادل الملفات بين الأقران (P2P).</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أجهزة إنترنت الأشياء (IoT) غير المصرح بها أو غير المتحقق منها، مثل الكاميرات أو أجهزة الاستشعار، على شبكة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وصول الزوار بديلًا عن وصول الموظفين، أو محاولة تجاوز ضوابط التحقق من الهوية والتفويض الخاصة بالموظفين.</w:t>
      </w:r>
    </w:p>
    <w:p>
      <w:pPr>
        <w:pStyle w:val="ListeParagraf"/>
        <w:bidi/>
        <w:spacing w:before="120" w:after="60"/>
        <w:ind w:left="0" w:right="709"/>
      </w:pPr>
      <w:r>
        <w:rPr>
          <w:rFonts w:ascii="Calibri" w:hAnsi="Calibri" w:cs="Arial"/>
          <w:b/>
          <w:bCs/>
          <w:rtl/>
          <w:sz w:val="24"/>
          <w:szCs w:val="24"/>
        </w:rPr>
        <w:t xml:space="preserve">8. إشعار الخصوصية والموافقة</w:t>
      </w:r>
    </w:p>
    <w:p>
      <w:pPr>
        <w:pStyle w:val="ListeParagraf"/>
        <w:bidi/>
        <w:spacing w:after="80"/>
        <w:ind w:left="0" w:right="709"/>
        <w:jc w:val="both"/>
      </w:pPr>
      <w:r>
        <w:rPr>
          <w:rFonts w:ascii="Calibri" w:hAnsi="Calibri" w:cs="Arial"/>
          <w:rtl/>
          <w:sz w:val="24"/>
          <w:szCs w:val="24"/>
        </w:rPr>
        <w:t xml:space="preserve">تُراقَب حركة بيانات شبكة الزوار وتُسجَّل لأغراض الأمن والامتثال القانوني.</w:t>
      </w:r>
    </w:p>
    <w:p>
      <w:pPr>
        <w:pStyle w:val="ListeParagraf"/>
        <w:bidi/>
        <w:spacing w:after="80"/>
        <w:ind w:left="0" w:right="709"/>
        <w:jc w:val="both"/>
      </w:pPr>
      <w:r>
        <w:rPr>
          <w:rFonts w:ascii="Calibri" w:hAnsi="Calibri" w:cs="Arial"/>
          <w:rtl/>
          <w:sz w:val="24"/>
          <w:szCs w:val="24"/>
        </w:rPr>
        <w:t xml:space="preserve">بمجرد الاتصال بالشبكة، يُعدّ الزائر قد قبل شروط الاستخدام المعروضة على بوابة الدخول، والتي تشمل المراقبة وتصفية المحتوى وقواعد السلوك المطلوبة.</w:t>
      </w:r>
    </w:p>
    <w:p>
      <w:pPr>
        <w:pStyle w:val="ListeParagraf"/>
        <w:bidi/>
        <w:spacing w:after="80"/>
        <w:ind w:left="0" w:right="709"/>
        <w:jc w:val="both"/>
      </w:pPr>
      <w:r>
        <w:rPr>
          <w:rFonts w:ascii="Calibri" w:hAnsi="Calibri" w:cs="Arial"/>
          <w:rtl/>
          <w:sz w:val="24"/>
          <w:szCs w:val="24"/>
        </w:rPr>
        <w:t xml:space="preserve">تُدار جميع السجلات وفقًا لسياسات حماية البيانات والاحتفاظ بها لدى إيروغلو للتريكو (EMS). ويجوز إجراء فحص للمحتوى في إطار أنشطة كشف البرمجيات الضارة والمراقبة الأمنية.</w:t>
      </w:r>
    </w:p>
    <w:p>
      <w:pPr>
        <w:pStyle w:val="ListeParagraf"/>
        <w:bidi/>
        <w:spacing w:before="120" w:after="60"/>
        <w:ind w:left="0" w:right="709"/>
      </w:pPr>
      <w:r>
        <w:rPr>
          <w:rFonts w:ascii="Calibri" w:hAnsi="Calibri" w:cs="Arial"/>
          <w:b/>
          <w:bCs/>
          <w:rtl/>
          <w:sz w:val="24"/>
          <w:szCs w:val="24"/>
        </w:rPr>
        <w:t xml:space="preserve">9. الاحتفاظ بالبيانات</w:t>
      </w:r>
    </w:p>
    <w:p>
      <w:pPr>
        <w:pStyle w:val="ListeParagraf"/>
        <w:bidi/>
        <w:spacing w:after="80"/>
        <w:ind w:left="0" w:right="709"/>
        <w:jc w:val="both"/>
      </w:pPr>
      <w:r>
        <w:rPr>
          <w:rFonts w:ascii="Calibri" w:hAnsi="Calibri" w:cs="Arial"/>
          <w:rtl/>
          <w:sz w:val="24"/>
          <w:szCs w:val="24"/>
        </w:rPr>
        <w:t xml:space="preserve">يُحتفَظ بسجلات التحقق من الهوية وDHCP وNAT وDNS والتصفية طوال فترة الاحتفاظ المحددة (مثل 90 يومًا)، ما لم يُطبَّق حفظ قانوني.</w:t>
      </w:r>
    </w:p>
    <w:p>
      <w:pPr>
        <w:pStyle w:val="ListeParagraf"/>
        <w:bidi/>
        <w:spacing w:after="80"/>
        <w:ind w:left="0" w:right="709"/>
        <w:jc w:val="both"/>
      </w:pPr>
      <w:r>
        <w:rPr>
          <w:rFonts w:ascii="Calibri" w:hAnsi="Calibri" w:cs="Arial"/>
          <w:rtl/>
          <w:sz w:val="24"/>
          <w:szCs w:val="24"/>
        </w:rPr>
        <w:t xml:space="preserve">يقتصر الوصول إلى هذه السجلات على الأشخاص المصرح لهم، ويتطلب أي إفصاح عنها موافقة إدارة الامتثال أو الإدارة القانونية.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INTERNET VISITOR ACCESS PROCEDURE</w:t>
          </w:r>
        </w:p>
        <w:p>
          <w:pPr>
            <w:pStyle w:val="GvdeMetni2"/>
            <w:bidi/>
            <w:spacing w:line="276" w:lineRule="auto"/>
            <w:jc w:val="center"/>
          </w:pPr>
          <w:r>
            <w:rPr>
              <w:rFonts w:asciiTheme="minorHAnsi" w:hAnsiTheme="minorHAnsi" w:cs="Arial"/>
              <w:b/>
              <w:bCs/>
              <w:color w:val="000000" w:themeColor="text1"/>
              <w:sz w:val="22"/>
              <w:szCs w:val="22"/>
              <w:rtl/>
            </w:rPr>
            <w:t>إجراء وصول الزوار إلى الإنترنت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EMS.BG.PRO.15.03.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