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1. PURPOSE</w:t>
      </w:r>
    </w:p>
    <w:p>
      <w:pPr>
        <w:pStyle w:val="ListeParagraf"/>
        <w:spacing w:after="80"/>
        <w:ind w:left="709" w:right="0"/>
        <w:jc w:val="both"/>
      </w:pPr>
      <w:r>
        <w:rPr>
          <w:rFonts w:ascii="Calibri" w:hAnsi="Calibri" w:cs="Arial"/>
          <w:sz w:val="24"/>
          <w:szCs w:val="24"/>
        </w:rPr>
        <w:t xml:space="preserve">The Chemical Management Policy ensures the safe handling, storage, usage and disposal of chemicals used in our facility in order to prevent environmental pollution, safeguard employee health and safety, ensure legal and customer compliance, and progressively eliminate hazardous chemicals from our operations and supply chain. It supports sustainable and responsible manufacturing in accordance with national regulations and international standards, including the Zero Discharge of Hazardous Chemicals (ZDHC) program, the Globally Harmonized System (GHS) of Classification and Labelling of Chemicals, the Classification, Labelling and Packaging (CLP) Regulation, the Higg Facility Environmental Module (Higg FEM), GOTS, GRS and OEKO-TEX Standard 100. The goal is to eliminate hazardous substances from our supply chain and promote a sustainable manufacturing process.</w:t>
      </w:r>
    </w:p>
    <w:p>
      <w:pPr>
        <w:pStyle w:val="ListeParagraf"/>
        <w:spacing w:before="120" w:after="60"/>
        <w:ind w:left="709" w:right="0"/>
      </w:pPr>
      <w:r>
        <w:rPr>
          <w:rFonts w:ascii="Calibri" w:hAnsi="Calibri" w:cs="Arial"/>
          <w:b/>
          <w:bCs/>
          <w:sz w:val="24"/>
          <w:szCs w:val="24"/>
        </w:rPr>
        <w:t xml:space="preserve">2. SCOPE</w:t>
      </w:r>
    </w:p>
    <w:p>
      <w:pPr>
        <w:pStyle w:val="ListeParagraf"/>
        <w:spacing w:after="80"/>
        <w:ind w:left="709" w:right="0"/>
        <w:jc w:val="both"/>
      </w:pPr>
      <w:r>
        <w:rPr>
          <w:rFonts w:ascii="Calibri" w:hAnsi="Calibri" w:cs="Arial"/>
          <w:sz w:val="24"/>
          <w:szCs w:val="24"/>
        </w:rPr>
        <w:t xml:space="preserve">This policy applies to all operations, activities and employees of Eroglu Knitting (EMS). This includes, but is not limited to:</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Chemical procurement, sourcing and supplier approval.</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Chemical storage and inventory management.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Chemical applications in production, maintenance, utilities and auxiliary operations.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Waste handling and final disposal.</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Contractor and supplier operations involving chemicals.</w:t>
      </w:r>
    </w:p>
    <w:p>
      <w:pPr>
        <w:pStyle w:val="ListeParagraf"/>
        <w:spacing w:before="120" w:after="60"/>
        <w:ind w:left="709" w:right="0"/>
      </w:pPr>
      <w:r>
        <w:rPr>
          <w:rFonts w:ascii="Calibri" w:hAnsi="Calibri" w:cs="Arial"/>
          <w:b/>
          <w:bCs/>
          <w:sz w:val="24"/>
          <w:szCs w:val="24"/>
        </w:rPr>
        <w:t xml:space="preserve">3. POLICY STATEMENT AND MANAGEMENT COMMITMENT</w:t>
      </w:r>
    </w:p>
    <w:p>
      <w:pPr>
        <w:pStyle w:val="ListeParagraf"/>
        <w:spacing w:after="80"/>
        <w:ind w:left="709" w:right="0"/>
        <w:jc w:val="both"/>
      </w:pPr>
      <w:r>
        <w:rPr>
          <w:rFonts w:ascii="Calibri" w:hAnsi="Calibri" w:cs="Arial"/>
          <w:sz w:val="24"/>
          <w:szCs w:val="24"/>
        </w:rPr>
        <w:t xml:space="preserve">Eroglu Knitting (EMS) is committed to leading in chemical safety and environmental protection by: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Complying with all applicable local and international regulatory requirements and customer-specific chemical management requirements.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Implementing and maintaining compliance with the ZDHC MRSL Version 3.1 across all relevant processes and suppliers.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Transparently measuring and reporting environmental performance through the Higg FEM platform.</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Providing adequate resources, training and infrastructure to ensure effective implementation of this policy.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Eliminating all priority hazardous chemicals as soon as possible, in full alignment with the ZDHC Roadmap to Zero, to foster a safer and more sustainable manufacturing environment.</w:t>
      </w:r>
    </w:p>
    <w:p>
      <w:pPr>
        <w:pStyle w:val="ListeParagraf"/>
        <w:spacing w:before="120" w:after="60"/>
        <w:ind w:left="709" w:right="0"/>
      </w:pPr>
      <w:r>
        <w:rPr>
          <w:rFonts w:ascii="Calibri" w:hAnsi="Calibri" w:cs="Arial"/>
          <w:b/>
          <w:bCs/>
          <w:sz w:val="24"/>
          <w:szCs w:val="24"/>
        </w:rPr>
        <w:t xml:space="preserve">4. CHEMICAL APPROVAL AND PROCUREMENT</w:t>
      </w:r>
    </w:p>
    <w:p>
      <w:pPr>
        <w:pStyle w:val="ListeParagraf"/>
        <w:spacing w:before="80" w:after="40"/>
        <w:ind w:left="709" w:right="0"/>
      </w:pPr>
      <w:r>
        <w:rPr>
          <w:rFonts w:ascii="Calibri" w:hAnsi="Calibri" w:cs="Arial"/>
          <w:b/>
          <w:bCs/>
          <w:sz w:val="24"/>
          <w:szCs w:val="24"/>
        </w:rPr>
        <w:t xml:space="preserve">4.1 Approval Process</w:t>
      </w:r>
    </w:p>
    <w:p>
      <w:pPr>
        <w:pStyle w:val="ListeParagraf"/>
        <w:spacing w:after="80"/>
        <w:ind w:left="709" w:right="0"/>
        <w:jc w:val="both"/>
      </w:pPr>
      <w:r>
        <w:rPr>
          <w:rFonts w:ascii="Calibri" w:hAnsi="Calibri" w:cs="Arial"/>
          <w:sz w:val="24"/>
          <w:szCs w:val="24"/>
        </w:rPr>
        <w:t xml:space="preserve">Only chemicals that have been formally reviewed and approved by the Chemical Management Team (CMT) may be procured, stored or used within the facility.</w:t>
      </w:r>
    </w:p>
    <w:p>
      <w:pPr>
        <w:pStyle w:val="ListeParagraf"/>
        <w:spacing w:before="80" w:after="40"/>
        <w:ind w:left="709" w:right="0"/>
      </w:pPr>
      <w:r>
        <w:rPr>
          <w:rFonts w:ascii="Calibri" w:hAnsi="Calibri" w:cs="Arial"/>
          <w:b/>
          <w:bCs/>
          <w:sz w:val="24"/>
          <w:szCs w:val="24"/>
        </w:rPr>
        <w:t xml:space="preserve">4.2 Supplier Requirements</w:t>
      </w:r>
    </w:p>
    <w:p>
      <w:pPr>
        <w:pStyle w:val="ListeParagraf"/>
        <w:spacing w:after="80"/>
        <w:ind w:left="709" w:right="0"/>
        <w:jc w:val="both"/>
      </w:pPr>
      <w:r>
        <w:rPr>
          <w:rFonts w:ascii="Calibri" w:hAnsi="Calibri" w:cs="Arial"/>
          <w:sz w:val="24"/>
          <w:szCs w:val="24"/>
        </w:rPr>
        <w:t xml:space="preserve">All chemical suppliers must provide: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Safety Data Sheets (SDS) in both English and the local language.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Chemical Abstracts Service (CAS) numbers and complete Technical Data Sheets (TDS).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ZDHC Gateway conformance certification (where applicable).</w:t>
      </w:r>
    </w:p>
    <w:p>
      <w:pPr>
        <w:pStyle w:val="ListeParagraf"/>
        <w:spacing w:before="80" w:after="40"/>
        <w:ind w:left="709" w:right="0"/>
      </w:pPr>
      <w:r>
        <w:rPr>
          <w:rFonts w:ascii="Calibri" w:hAnsi="Calibri" w:cs="Arial"/>
          <w:b/>
          <w:bCs/>
          <w:sz w:val="24"/>
          <w:szCs w:val="24"/>
        </w:rPr>
        <w:t xml:space="preserve">4.3 Manufacturing Restricted Substances Control</w:t>
      </w:r>
    </w:p>
    <w:p>
      <w:pPr>
        <w:pStyle w:val="ListeParagraf"/>
        <w:spacing w:after="80"/>
        <w:ind w:left="709" w:right="0"/>
        <w:jc w:val="both"/>
      </w:pPr>
      <w:r>
        <w:rPr>
          <w:rFonts w:ascii="Calibri" w:hAnsi="Calibri" w:cs="Arial"/>
          <w:sz w:val="24"/>
          <w:szCs w:val="24"/>
        </w:rPr>
        <w:t xml:space="preserve">Chemicals listed under the ZDHC MRSL or prohibited by legal or brand requirements (brand RSL) are forbidden and shall not be introduced into any process or operation.</w:t>
      </w:r>
    </w:p>
    <w:p>
      <w:pPr>
        <w:pStyle w:val="ListeParagraf"/>
        <w:spacing w:before="120" w:after="60"/>
        <w:ind w:left="709" w:right="0"/>
      </w:pPr>
      <w:r>
        <w:rPr>
          <w:rFonts w:ascii="Calibri" w:hAnsi="Calibri" w:cs="Arial"/>
          <w:b/>
          <w:bCs/>
          <w:sz w:val="24"/>
          <w:szCs w:val="24"/>
        </w:rPr>
        <w:t xml:space="preserve">5. CHEMICAL INVENTORY AND STORAGE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 centralized and continuously updated chemical inventory shall be maintained using ZDHC-compliant software or platforms (e.g. ZDHC Gateway, CleanChain).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Chemicals shall be segregated and stored based on hazard class, compatibility and risk level.</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Adequate ventilation, secondary containment, spill control and fire prevention systems shall be ensured.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All containers shall be clearly labeled in accordance with GHS (Globally Harmonized System) requirements, including chemical name, hazard pictograms, precautionary statements, LOT number and expiry or review dates where applicable.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 LOT tracking system and the FIFO (First In, First Out) principle shall be implemented.</w:t>
      </w:r>
    </w:p>
    <w:p>
      <w:pPr>
        <w:pStyle w:val="ListeParagraf"/>
        <w:spacing w:before="120" w:after="60"/>
        <w:ind w:left="709" w:right="0"/>
      </w:pPr>
      <w:r>
        <w:rPr>
          <w:rFonts w:ascii="Calibri" w:hAnsi="Calibri" w:cs="Arial"/>
          <w:b/>
          <w:bCs/>
          <w:sz w:val="24"/>
          <w:szCs w:val="24"/>
        </w:rPr>
        <w:t xml:space="preserve">6. HANDLING, USAGE AND PERSONAL PROTECTIVE EQUIPMENT (PPE)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Only trained and authorized personnel are permitted to handle, transfer or apply chemicals.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Chemicals shall be used strictly in accordance with approved process instructions, SDS guidelines and operational controls.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PPE must be provided, maintained and worn as specified in the relevant SDS and risk assessments.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Emergency eyewash stations and safety showers must be installed in designated high-risk areas and inspected on a routine basis.</w:t>
      </w:r>
    </w:p>
    <w:p>
      <w:pPr>
        <w:pStyle w:val="ListeParagraf"/>
        <w:spacing w:before="120" w:after="60"/>
        <w:ind w:left="709" w:right="0"/>
      </w:pPr>
      <w:r>
        <w:rPr>
          <w:rFonts w:ascii="Calibri" w:hAnsi="Calibri" w:cs="Arial"/>
          <w:b/>
          <w:bCs/>
          <w:sz w:val="24"/>
          <w:szCs w:val="24"/>
        </w:rPr>
        <w:t xml:space="preserve">7. SPILL RESPONSE AND EMERGENCY PREPAREDNESS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Emergency spill kits and first aid equipment must be strategically located and routinely inspected.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All staff shall be trained in spill containment, evacuation and exposure treatment. Training shall be documented and communicated to all relevant personnel.</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All incidents, near misses and chemical spills shall be recorded and investigated, and Root Cause Analysis (RCA) and Corrective Action Plans (CAP) shall be applied.</w:t>
      </w:r>
    </w:p>
    <w:p>
      <w:pPr>
        <w:pStyle w:val="ListeParagraf"/>
        <w:spacing w:before="120" w:after="60"/>
        <w:ind w:left="709" w:right="0"/>
      </w:pPr>
      <w:r>
        <w:rPr>
          <w:rFonts w:ascii="Calibri" w:hAnsi="Calibri" w:cs="Arial"/>
          <w:b/>
          <w:bCs/>
          <w:sz w:val="24"/>
          <w:szCs w:val="24"/>
        </w:rPr>
        <w:t xml:space="preserve">8. WASTE DISPOSAL AND ENVIRONMENTAL CONTROLS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All hazardous and non-hazardous chemical waste shall be segregated, labeled and stored in designated and secured areas.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All wastewater and chemical effluent shall be treated through an approved Effluent Treatment Plant (ETP) prior to discharge.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Emissions, effluent quality and waste disposal shall be monitored, documented and reported in compliance with the ZDHC Wastewater Guidelines and Higg FEM requirements.</w:t>
      </w:r>
    </w:p>
    <w:p>
      <w:pPr>
        <w:pStyle w:val="ListeParagraf"/>
        <w:spacing w:before="120" w:after="60"/>
        <w:ind w:left="709" w:right="0"/>
      </w:pPr>
      <w:r>
        <w:rPr>
          <w:rFonts w:ascii="Calibri" w:hAnsi="Calibri" w:cs="Arial"/>
          <w:b/>
          <w:bCs/>
          <w:sz w:val="24"/>
          <w:szCs w:val="24"/>
        </w:rPr>
        <w:t xml:space="preserve">9. TRAINING AND COMMUNICATION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Chemical safety training must be provided to all employees during induction and through periodic refresher programs.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SOPs, safety posters and hazard pictograms must be clearly displayed in all relevant operational areas.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Suppliers and contractors shall be informed and trained on MRSL / RSL compliance.</w:t>
      </w:r>
    </w:p>
    <w:p>
      <w:pPr>
        <w:pStyle w:val="ListeParagraf"/>
        <w:spacing w:before="120" w:after="60"/>
        <w:ind w:left="709" w:right="0"/>
      </w:pPr>
      <w:r>
        <w:rPr>
          <w:rFonts w:ascii="Calibri" w:hAnsi="Calibri" w:cs="Arial"/>
          <w:b/>
          <w:bCs/>
          <w:sz w:val="24"/>
          <w:szCs w:val="24"/>
        </w:rPr>
        <w:t xml:space="preserve">10. AUDITING, MONITORING AND CONTINUOUS IMPROVEMENT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Internal audits shall be conducted at least semi-annually to verify compliance with this policy and applicable standards.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Independent third-party audits shall be conducted annually or as required by customers, certification bodies or regulators.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CAPs shall be developed, implemented and tracked to closure based on the Higg Index, ZDHC audits, brand audit findings and other performance reviews.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Performance trends and improvement initiatives shall be reviewed during management review meetings.</w:t>
      </w:r>
    </w:p>
    <w:p>
      <w:pPr>
        <w:pStyle w:val="ListeParagraf"/>
        <w:spacing w:before="120" w:after="60"/>
        <w:ind w:left="709" w:right="0"/>
      </w:pPr>
      <w:r>
        <w:rPr>
          <w:rFonts w:ascii="Calibri" w:hAnsi="Calibri" w:cs="Arial"/>
          <w:b/>
          <w:bCs/>
          <w:sz w:val="24"/>
          <w:szCs w:val="24"/>
        </w:rPr>
        <w:t xml:space="preserve">11. COMPLIANCE AND ENFORCEMENT</w:t>
      </w:r>
    </w:p>
    <w:p>
      <w:pPr>
        <w:pStyle w:val="ListeParagraf"/>
        <w:spacing w:after="80"/>
        <w:ind w:left="709" w:right="0"/>
        <w:jc w:val="both"/>
      </w:pPr>
      <w:r>
        <w:rPr>
          <w:rFonts w:ascii="Calibri" w:hAnsi="Calibri" w:cs="Arial"/>
          <w:sz w:val="24"/>
          <w:szCs w:val="24"/>
        </w:rPr>
        <w:t xml:space="preserve">Non-compliance with this policy may result in corrective actions, retraining, suspension of chemical use or disciplinary measures in accordance with company procedures and legal requirements.</w:t>
      </w:r>
    </w:p>
    <w:p>
      <w:pPr>
        <w:pStyle w:val="ListeParagraf"/>
        <w:spacing w:before="120" w:after="60"/>
        <w:ind w:left="709" w:right="0"/>
      </w:pPr>
      <w:r>
        <w:rPr>
          <w:rFonts w:ascii="Calibri" w:hAnsi="Calibri" w:cs="Arial"/>
          <w:b/>
          <w:bCs/>
          <w:sz w:val="24"/>
          <w:szCs w:val="24"/>
        </w:rPr>
        <w:t xml:space="preserve">12. REFERENCES AND STANDARDS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ZDHC Manufacturing Restricted Substances List (MRSL) v3.1</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ZDHC Wastewater Guidelines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Higg Facility Environmental Module (Higg FEM)</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Globally Harmonized System (GHS)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Applicable local and national environmental and occupational health and safety regulations</w:t>
      </w:r>
    </w:p>
    <w:p>
      <w:r>
        <w:br w:type="page"/>
      </w:r>
    </w:p>
    <w:p>
      <w:pPr>
        <w:pStyle w:val="ListeParagraf"/>
        <w:bidi/>
        <w:spacing w:before="120" w:after="60"/>
        <w:ind w:left="0" w:right="709"/>
      </w:pPr>
      <w:r>
        <w:rPr>
          <w:rFonts w:ascii="Calibri" w:hAnsi="Calibri" w:cs="Arial"/>
          <w:b/>
          <w:bCs/>
          <w:rtl/>
          <w:sz w:val="24"/>
          <w:szCs w:val="24"/>
        </w:rPr>
        <w:t xml:space="preserve">1. الغرض</w:t>
      </w:r>
    </w:p>
    <w:p>
      <w:pPr>
        <w:pStyle w:val="ListeParagraf"/>
        <w:bidi/>
        <w:spacing w:after="80"/>
        <w:ind w:left="0" w:right="709"/>
        <w:jc w:val="both"/>
      </w:pPr>
      <w:r>
        <w:rPr>
          <w:rFonts w:ascii="Calibri" w:hAnsi="Calibri" w:cs="Arial"/>
          <w:rtl/>
          <w:sz w:val="24"/>
          <w:szCs w:val="24"/>
        </w:rPr>
        <w:t xml:space="preserve">تضمن سياسة إدارة المواد الكيميائية المناولة والتخزين والاستخدام والتخلص الآمن للمواد الكيميائية المستخدمة في منشأتنا، وذلك لمنع التلوث البيئي، وحماية صحة الموظفين وسلامتهم، وضمان الامتثال للمتطلبات القانونية ومتطلبات العملاء، والتخلص التدريجي من المواد الكيميائية الخطرة في عملياتنا وسلسلة التوريد. وتدعم السياسة التصنيع المستدام والمسؤول وفقًا للوائح الوطنية والمعايير الدولية، بما في ذلك برنامج التصريف الصفري للمواد الكيميائية الخطرة (ZDHC)، والنظام المنسق عالميًا لتصنيف المواد الكيميائية ووسمها (GHS)، ولائحة التصنيف والوسم والتعبئة (CLP)، ووحدة هيغ البيئية للمنشآت (Higg FEM)، وGOTS وGRS ومعيار OEKO-TEX Standard 100. والهدف هو إزالة المواد الخطرة من سلسلة التوريد لدينا وتعزيز عملية تصنيع مستدامة.</w:t>
      </w:r>
    </w:p>
    <w:p>
      <w:pPr>
        <w:pStyle w:val="ListeParagraf"/>
        <w:bidi/>
        <w:spacing w:before="120" w:after="60"/>
        <w:ind w:left="0" w:right="709"/>
      </w:pPr>
      <w:r>
        <w:rPr>
          <w:rFonts w:ascii="Calibri" w:hAnsi="Calibri" w:cs="Arial"/>
          <w:b/>
          <w:bCs/>
          <w:rtl/>
          <w:sz w:val="24"/>
          <w:szCs w:val="24"/>
        </w:rPr>
        <w:t xml:space="preserve">2. النطاق</w:t>
      </w:r>
    </w:p>
    <w:p>
      <w:pPr>
        <w:pStyle w:val="ListeParagraf"/>
        <w:bidi/>
        <w:spacing w:after="80"/>
        <w:ind w:left="0" w:right="709"/>
        <w:jc w:val="both"/>
      </w:pPr>
      <w:r>
        <w:rPr>
          <w:rFonts w:ascii="Calibri" w:hAnsi="Calibri" w:cs="Arial"/>
          <w:rtl/>
          <w:sz w:val="24"/>
          <w:szCs w:val="24"/>
        </w:rPr>
        <w:t xml:space="preserve">تنطبق هذه السياسة على جميع عمليات وأنشطة وموظفي إيروغلو للتريكو (EMS)، ويشمل ذلك على سبيل المثال لا الحصر: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شراء المواد الكيميائية وتوريدها واعتماد الموردين.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تخزين المواد الكيميائية وإدارة المخزون.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استخدامات المواد الكيميائية في الإنتاج والصيانة والمرافق والعمليات المساعدة.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مناولة المخلفات والتخلص النهائي منها.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عمليات المقاولين والموردين التي تتضمن مواد كيميائية.</w:t>
      </w:r>
    </w:p>
    <w:p>
      <w:pPr>
        <w:pStyle w:val="ListeParagraf"/>
        <w:bidi/>
        <w:spacing w:before="120" w:after="60"/>
        <w:ind w:left="0" w:right="709"/>
      </w:pPr>
      <w:r>
        <w:rPr>
          <w:rFonts w:ascii="Calibri" w:hAnsi="Calibri" w:cs="Arial"/>
          <w:b/>
          <w:bCs/>
          <w:rtl/>
          <w:sz w:val="24"/>
          <w:szCs w:val="24"/>
        </w:rPr>
        <w:t xml:space="preserve">3. بيان السياسة والتزام الإدارة</w:t>
      </w:r>
    </w:p>
    <w:p>
      <w:pPr>
        <w:pStyle w:val="ListeParagraf"/>
        <w:bidi/>
        <w:spacing w:after="80"/>
        <w:ind w:left="0" w:right="709"/>
        <w:jc w:val="both"/>
      </w:pPr>
      <w:r>
        <w:rPr>
          <w:rFonts w:ascii="Calibri" w:hAnsi="Calibri" w:cs="Arial"/>
          <w:rtl/>
          <w:sz w:val="24"/>
          <w:szCs w:val="24"/>
        </w:rPr>
        <w:t xml:space="preserve">تلتزم إيروغلو للتريكو (EMS) بالريادة في مجال السلامة الكيميائية وحماية البيئة من خلال: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الامتثال لجميع المتطلبات التنظيمية المحلية والدولية المعمول بها ومتطلبات العملاء الخاصة بإدارة المواد الكيميائية.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تطبيق قائمة ZDHC للمواد المقيدة في التصنيع (MRSL) الإصدار 3.1 والحفاظ على الامتثال لها في جميع العمليات والموردين ذوي الصلة.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قياس الأداء البيئي والإبلاغ عنه بشفافية من خلال منصة Higg FEM.</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توفير الموارد والتدريب والبنية التحتية الكافية لضمان التطبيق الفعال لهذه السياسة.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التخلص من جميع المواد الكيميائية الخطرة ذات الأولوية في أقرب وقت ممكن، بما يتوافق تمامًا مع خارطة طريق ZDHC نحو الصفر، لتعزيز بيئة تصنيع أكثر أمانًا واستدامة.</w:t>
      </w:r>
    </w:p>
    <w:p>
      <w:pPr>
        <w:pStyle w:val="ListeParagraf"/>
        <w:bidi/>
        <w:spacing w:before="120" w:after="60"/>
        <w:ind w:left="0" w:right="709"/>
      </w:pPr>
      <w:r>
        <w:rPr>
          <w:rFonts w:ascii="Calibri" w:hAnsi="Calibri" w:cs="Arial"/>
          <w:b/>
          <w:bCs/>
          <w:rtl/>
          <w:sz w:val="24"/>
          <w:szCs w:val="24"/>
        </w:rPr>
        <w:t xml:space="preserve">4. اعتماد المواد الكيميائية وشراؤها</w:t>
      </w:r>
    </w:p>
    <w:p>
      <w:pPr>
        <w:pStyle w:val="ListeParagraf"/>
        <w:bidi/>
        <w:spacing w:before="80" w:after="40"/>
        <w:ind w:left="0" w:right="709"/>
      </w:pPr>
      <w:r>
        <w:rPr>
          <w:rFonts w:ascii="Calibri" w:hAnsi="Calibri" w:cs="Arial"/>
          <w:b/>
          <w:bCs/>
          <w:rtl/>
          <w:sz w:val="24"/>
          <w:szCs w:val="24"/>
        </w:rPr>
        <w:t xml:space="preserve">4.1 عملية الاعتماد</w:t>
      </w:r>
    </w:p>
    <w:p>
      <w:pPr>
        <w:pStyle w:val="ListeParagraf"/>
        <w:bidi/>
        <w:spacing w:after="80"/>
        <w:ind w:left="0" w:right="709"/>
        <w:jc w:val="both"/>
      </w:pPr>
      <w:r>
        <w:rPr>
          <w:rFonts w:ascii="Calibri" w:hAnsi="Calibri" w:cs="Arial"/>
          <w:rtl/>
          <w:sz w:val="24"/>
          <w:szCs w:val="24"/>
        </w:rPr>
        <w:t xml:space="preserve">لا يجوز شراء أو تخزين أو استخدام أي مادة كيميائية داخل المنشأة إلا بعد مراجعتها واعتمادها رسميًا من فريق إدارة المواد الكيميائية (CMT).</w:t>
      </w:r>
    </w:p>
    <w:p>
      <w:pPr>
        <w:pStyle w:val="ListeParagraf"/>
        <w:bidi/>
        <w:spacing w:before="80" w:after="40"/>
        <w:ind w:left="0" w:right="709"/>
      </w:pPr>
      <w:r>
        <w:rPr>
          <w:rFonts w:ascii="Calibri" w:hAnsi="Calibri" w:cs="Arial"/>
          <w:b/>
          <w:bCs/>
          <w:rtl/>
          <w:sz w:val="24"/>
          <w:szCs w:val="24"/>
        </w:rPr>
        <w:t xml:space="preserve">4.2 متطلبات الموردين</w:t>
      </w:r>
    </w:p>
    <w:p>
      <w:pPr>
        <w:pStyle w:val="ListeParagraf"/>
        <w:bidi/>
        <w:spacing w:after="80"/>
        <w:ind w:left="0" w:right="709"/>
        <w:jc w:val="both"/>
      </w:pPr>
      <w:r>
        <w:rPr>
          <w:rFonts w:ascii="Calibri" w:hAnsi="Calibri" w:cs="Arial"/>
          <w:rtl/>
          <w:sz w:val="24"/>
          <w:szCs w:val="24"/>
        </w:rPr>
        <w:t xml:space="preserve">يجب على جميع موردي المواد الكيميائية تقديم ما يلي: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صحائف بيانات السلامة (SDS) باللغتين الإنجليزية واللغة المحلية.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أرقام خدمة الملخصات الكيميائية (CAS) وصحائف البيانات الفنية (TDS) الكاملة.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شهادة المطابقة على بوابة ZDHC Gateway (حيثما ينطبق).</w:t>
      </w:r>
    </w:p>
    <w:p>
      <w:pPr>
        <w:pStyle w:val="ListeParagraf"/>
        <w:bidi/>
        <w:spacing w:before="80" w:after="40"/>
        <w:ind w:left="0" w:right="709"/>
      </w:pPr>
      <w:r>
        <w:rPr>
          <w:rFonts w:ascii="Calibri" w:hAnsi="Calibri" w:cs="Arial"/>
          <w:b/>
          <w:bCs/>
          <w:rtl/>
          <w:sz w:val="24"/>
          <w:szCs w:val="24"/>
        </w:rPr>
        <w:t xml:space="preserve">4.3 التحكم في المواد المقيدة في التصنيع</w:t>
      </w:r>
    </w:p>
    <w:p>
      <w:pPr>
        <w:pStyle w:val="ListeParagraf"/>
        <w:bidi/>
        <w:spacing w:after="80"/>
        <w:ind w:left="0" w:right="709"/>
        <w:jc w:val="both"/>
      </w:pPr>
      <w:r>
        <w:rPr>
          <w:rFonts w:ascii="Calibri" w:hAnsi="Calibri" w:cs="Arial"/>
          <w:rtl/>
          <w:sz w:val="24"/>
          <w:szCs w:val="24"/>
        </w:rPr>
        <w:t xml:space="preserve">يُحظر استخدام المواد الكيميائية المدرجة في قائمة ZDHC MRSL أو المحظورة بموجب المتطلبات القانونية أو متطلبات العلامات التجارية (قوائم RSL للعلامات التجارية)، ولا يجوز إدخالها في أي عملية أو نشاط.</w:t>
      </w:r>
    </w:p>
    <w:p>
      <w:pPr>
        <w:pStyle w:val="ListeParagraf"/>
        <w:bidi/>
        <w:spacing w:before="120" w:after="60"/>
        <w:ind w:left="0" w:right="709"/>
      </w:pPr>
      <w:r>
        <w:rPr>
          <w:rFonts w:ascii="Calibri" w:hAnsi="Calibri" w:cs="Arial"/>
          <w:b/>
          <w:bCs/>
          <w:rtl/>
          <w:sz w:val="24"/>
          <w:szCs w:val="24"/>
        </w:rPr>
        <w:t xml:space="preserve">5. مخزون المواد الكيميائية وتخزينها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الاحتفاظ بقائمة جرد مركزية ومحدَّثة باستمرار للمواد الكيميائية باستخدام برامج أو منصات متوافقة مع ZDHC (مثل ZDHC Gateway وCleanChain).</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فصل المواد الكيميائية وتخزينها حسب فئة الخطر والتوافق ومستوى المخاطرة.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ضمان التهوية الكافية والاحتواء الثانوي والتحكم في الانسكابات وأنظمة الوقاية من الحريق.</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وضع ملصقات واضحة على جميع الحاويات وفقًا لمتطلبات النظام المنسق عالميًا (GHS)، بما في ذلك اسم المادة الكيميائية ورموز الخطر التصويرية والعبارات التحذيرية ورقم التشغيلة (LOT) وتواريخ انتهاء الصلاحية أو المراجعة حيثما ينطبق.</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تطبيق نظام تتبع التشغيلات (LOT) ومبدأ الوارد أولًا يُصرف أولًا (FIFO).</w:t>
      </w:r>
    </w:p>
    <w:p>
      <w:pPr>
        <w:pStyle w:val="ListeParagraf"/>
        <w:bidi/>
        <w:spacing w:before="120" w:after="60"/>
        <w:ind w:left="0" w:right="709"/>
      </w:pPr>
      <w:r>
        <w:rPr>
          <w:rFonts w:ascii="Calibri" w:hAnsi="Calibri" w:cs="Arial"/>
          <w:b/>
          <w:bCs/>
          <w:rtl/>
          <w:sz w:val="24"/>
          <w:szCs w:val="24"/>
        </w:rPr>
        <w:t xml:space="preserve">6. المناولة والاستخدام ومعدات الحماية الشخصية (PPE)</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لا يُسمح بمناولة المواد الكيميائية أو نقلها أو استخدامها إلا للموظفين المدرَّبين والمصرَّح لهم.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استخدام المواد الكيميائية بدقة وفقًا لتعليمات العمليات المعتمدة وإرشادات صحائف بيانات السلامة وضوابط التشغيل.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توفير معدات الحماية الشخصية وصيانتها وارتداؤها وفقًا لما هو محدد في صحائف بيانات السلامة وتقييمات المخاطر ذات الصلة.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تركيب محطات غسيل العيون ودُشّات السلامة للطوارئ في المناطق عالية الخطورة المحددة وفحصها بصفة دورية.</w:t>
      </w:r>
    </w:p>
    <w:p>
      <w:pPr>
        <w:pStyle w:val="ListeParagraf"/>
        <w:bidi/>
        <w:spacing w:before="120" w:after="60"/>
        <w:ind w:left="0" w:right="709"/>
      </w:pPr>
      <w:r>
        <w:rPr>
          <w:rFonts w:ascii="Calibri" w:hAnsi="Calibri" w:cs="Arial"/>
          <w:b/>
          <w:bCs/>
          <w:rtl/>
          <w:sz w:val="24"/>
          <w:szCs w:val="24"/>
        </w:rPr>
        <w:t xml:space="preserve">7. الاستجابة للانسكابات والتأهب للطوارئ</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وضع أطقم الانسكاب ومعدات الإسعافات الأولية للطوارئ في مواقع استراتيجية وفحصها بشكل دوري.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تدريب جميع الموظفين على احتواء الانسكابات والإخلاء ومعالجة حالات التعرض، ويجب توثيق التدريب وإبلاغه لجميع الموظفين المعنيين.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تسجيل جميع الحوادث والحوادث الوشيكة وانسكابات المواد الكيميائية والتحقيق فيها، وتطبيق تحليل السبب الجذري (RCA) وخطط الإجراءات التصحيحية (CAP).</w:t>
      </w:r>
    </w:p>
    <w:p>
      <w:pPr>
        <w:pStyle w:val="ListeParagraf"/>
        <w:bidi/>
        <w:spacing w:before="120" w:after="60"/>
        <w:ind w:left="0" w:right="709"/>
      </w:pPr>
      <w:r>
        <w:rPr>
          <w:rFonts w:ascii="Calibri" w:hAnsi="Calibri" w:cs="Arial"/>
          <w:b/>
          <w:bCs/>
          <w:rtl/>
          <w:sz w:val="24"/>
          <w:szCs w:val="24"/>
        </w:rPr>
        <w:t xml:space="preserve">8. التخلص من المخلفات والضوابط البيئية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فصل جميع المخلفات الكيميائية الخطرة وغير الخطرة ووضع ملصقات عليها وتخزينها في مناطق مخصصة ومؤمّنة.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معالجة جميع مياه الصرف والسوائل الكيميائية المصرَّفة من خلال محطة معالجة مياه صرف (ETP) معتمدة قبل التصريف.</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مراقبة الانبعاثات وجودة مياه الصرف والتخلص من المخلفات وتوثيقها والإبلاغ عنها بما يتوافق مع إرشادات ZDHC لمياه الصرف ومتطلبات Higg FEM.</w:t>
      </w:r>
    </w:p>
    <w:p>
      <w:pPr>
        <w:pStyle w:val="ListeParagraf"/>
        <w:bidi/>
        <w:spacing w:before="120" w:after="60"/>
        <w:ind w:left="0" w:right="709"/>
      </w:pPr>
      <w:r>
        <w:rPr>
          <w:rFonts w:ascii="Calibri" w:hAnsi="Calibri" w:cs="Arial"/>
          <w:b/>
          <w:bCs/>
          <w:rtl/>
          <w:sz w:val="24"/>
          <w:szCs w:val="24"/>
        </w:rPr>
        <w:t xml:space="preserve">9. التدريب والتواصل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تقديم تدريب على السلامة الكيميائية لجميع الموظفين أثناء فترة التعريف ومن خلال برامج تنشيطية دورية.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عرض إجراءات التشغيل القياسية (SOPs) وملصقات السلامة ورموز الخطر التصويرية بوضوح في جميع مناطق التشغيل ذات الصلة.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إبلاغ الموردين والمقاولين وتدريبهم على الامتثال لقوائم MRSL / RSL.</w:t>
      </w:r>
    </w:p>
    <w:p>
      <w:pPr>
        <w:pStyle w:val="ListeParagraf"/>
        <w:bidi/>
        <w:spacing w:before="120" w:after="60"/>
        <w:ind w:left="0" w:right="709"/>
      </w:pPr>
      <w:r>
        <w:rPr>
          <w:rFonts w:ascii="Calibri" w:hAnsi="Calibri" w:cs="Arial"/>
          <w:b/>
          <w:bCs/>
          <w:rtl/>
          <w:sz w:val="24"/>
          <w:szCs w:val="24"/>
        </w:rPr>
        <w:t xml:space="preserve">10. التدقيق والمراقبة والتحسين المستمر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إجراء عمليات تدقيق داخلي مرتين سنويًا على الأقل للتحقق من الامتثال لهذه السياسة والمعايير المعمول بها.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إجراء عمليات تدقيق مستقلة من طرف ثالث سنويًا أو حسب متطلبات العملاء أو جهات الاعتماد أو الجهات التنظيمية.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وضع خطط الإجراءات التصحيحية وتنفيذها ومتابعتها حتى الإغلاق بناءً على مؤشر Higg وعمليات تدقيق ZDHC ونتائج تدقيق العلامات التجارية ومراجعات الأداء الأخرى.</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مراجعة اتجاهات الأداء ومبادرات التحسين خلال اجتماعات مراجعة الإدارة.</w:t>
      </w:r>
    </w:p>
    <w:p>
      <w:pPr>
        <w:pStyle w:val="ListeParagraf"/>
        <w:bidi/>
        <w:spacing w:before="120" w:after="60"/>
        <w:ind w:left="0" w:right="709"/>
      </w:pPr>
      <w:r>
        <w:rPr>
          <w:rFonts w:ascii="Calibri" w:hAnsi="Calibri" w:cs="Arial"/>
          <w:b/>
          <w:bCs/>
          <w:rtl/>
          <w:sz w:val="24"/>
          <w:szCs w:val="24"/>
        </w:rPr>
        <w:t xml:space="preserve">11. الامتثال والتنفيذ</w:t>
      </w:r>
    </w:p>
    <w:p>
      <w:pPr>
        <w:pStyle w:val="ListeParagraf"/>
        <w:bidi/>
        <w:spacing w:after="80"/>
        <w:ind w:left="0" w:right="709"/>
        <w:jc w:val="both"/>
      </w:pPr>
      <w:r>
        <w:rPr>
          <w:rFonts w:ascii="Calibri" w:hAnsi="Calibri" w:cs="Arial"/>
          <w:rtl/>
          <w:sz w:val="24"/>
          <w:szCs w:val="24"/>
        </w:rPr>
        <w:t xml:space="preserve">قد يؤدي عدم الامتثال لهذه السياسة إلى اتخاذ إجراءات تصحيحية أو إعادة التدريب أو تعليق استخدام المواد الكيميائية أو اتخاذ تدابير تأديبية وفقًا لإجراءات الشركة والمتطلبات القانونية.</w:t>
      </w:r>
    </w:p>
    <w:p>
      <w:pPr>
        <w:pStyle w:val="ListeParagraf"/>
        <w:bidi/>
        <w:spacing w:before="120" w:after="60"/>
        <w:ind w:left="0" w:right="709"/>
      </w:pPr>
      <w:r>
        <w:rPr>
          <w:rFonts w:ascii="Calibri" w:hAnsi="Calibri" w:cs="Arial"/>
          <w:b/>
          <w:bCs/>
          <w:rtl/>
          <w:sz w:val="24"/>
          <w:szCs w:val="24"/>
        </w:rPr>
        <w:t xml:space="preserve">12. المراجع والمعايير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قائمة ZDHC للمواد المقيدة في التصنيع (MRSL) الإصدار 3.1</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إرشادات ZDHC لمياه الصرف</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وحدة هيغ البيئية للمنشآت (Higg FEM)</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النظام المنسق عالميًا (GHS)</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اللوائح المحلية والوطنية المعمول بها في مجال البيئة والصحة والسلامة المهنية</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CHEMICAL MANAGEMENT POLICY</w:t>
          </w:r>
        </w:p>
        <w:p>
          <w:pPr>
            <w:pStyle w:val="GvdeMetni2"/>
            <w:bidi/>
            <w:spacing w:line="276" w:lineRule="auto"/>
            <w:jc w:val="center"/>
          </w:pPr>
          <w:r>
            <w:rPr>
              <w:rFonts w:asciiTheme="minorHAnsi" w:hAnsiTheme="minorHAnsi" w:cs="Arial"/>
              <w:b/>
              <w:bCs/>
              <w:color w:val="000000" w:themeColor="text1"/>
              <w:sz w:val="22"/>
              <w:szCs w:val="22"/>
              <w:rtl/>
            </w:rPr>
            <w:t>سياسة إدارة المواد الكيميائية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EMS.KM.POL.20.01.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6.10.2026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EMS.BG.POL.15.01. INFORMATION SECURITY AND DATA PROTECTION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