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 AND SCOPE</w:t>
      </w:r>
    </w:p>
    <w:p>
      <w:pPr>
        <w:pStyle w:val="ListeParagraf"/>
        <w:spacing w:after="80"/>
        <w:ind w:left="709" w:right="0"/>
        <w:jc w:val="both"/>
      </w:pPr>
      <w:r>
        <w:rPr>
          <w:rFonts w:ascii="Calibri" w:hAnsi="Calibri" w:cs="Arial"/>
          <w:sz w:val="24"/>
          <w:szCs w:val="24"/>
        </w:rPr>
        <w:t xml:space="preserve">This procedure has been established to ensure that all seals used in the yarn, dyehouse and garment processes are managed in integration with the logistics, security and customs clearance processes, to protect product and material security, to prevent unauthorized interference and to guarantee traceability in export processes.</w:t>
      </w:r>
    </w:p>
    <w:p>
      <w:pPr>
        <w:pStyle w:val="ListeParagraf"/>
        <w:spacing w:after="80"/>
        <w:ind w:left="709" w:right="0"/>
        <w:jc w:val="both"/>
      </w:pPr>
      <w:r>
        <w:rPr>
          <w:rFonts w:ascii="Calibri" w:hAnsi="Calibri" w:cs="Arial"/>
          <w:sz w:val="24"/>
          <w:szCs w:val="24"/>
        </w:rPr>
        <w:t xml:space="preserve">This procedure covers all sealing activities from raw material receipt to final product shipment. The yarn, dyeing, garment, warehouse, logistics, security and customs clearance units are responsible for implementing the process.</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Raw Material Receipt and Material Sealing (Logistics Acceptance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In-Process Area and Intermediate Product Sealing (Production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Shipment and Export Sealing (Customs Clearance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Seal Tracking, Customs Compliance and Record Management</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Raw Material Receipt and Material Sealing (Logistics Acceptance Process)</w:t>
      </w:r>
    </w:p>
    <w:p>
      <w:pPr>
        <w:pStyle w:val="ListeParagraf"/>
        <w:spacing w:after="80"/>
        <w:ind w:left="709" w:right="0"/>
        <w:jc w:val="both"/>
      </w:pPr>
      <w:r>
        <w:rPr>
          <w:rFonts w:ascii="Calibri" w:hAnsi="Calibri" w:cs="Arial"/>
          <w:sz w:val="24"/>
          <w:szCs w:val="24"/>
        </w:rPr>
        <w:t xml:space="preserve">All raw materials entering the factory (yarn, fabric, chemicals and auxiliary materials) are checked at the logistics acceptance point and are sealed, or their existing seals are verified. For vehicle- and container-based receipts, the seal number is compared with the shipping documents. Loads with non-conforming or missing seals are reported to the security unit and are admitted in a controlled manner. This process is a critical control point for material integrity and supply chain security.</w:t>
      </w:r>
    </w:p>
    <w:p>
      <w:pPr>
        <w:pStyle w:val="ListeParagraf"/>
        <w:spacing w:before="80" w:after="40"/>
        <w:ind w:left="709" w:right="0"/>
      </w:pPr>
      <w:r>
        <w:rPr>
          <w:rFonts w:ascii="Calibri" w:hAnsi="Calibri" w:cs="Arial"/>
          <w:b/>
          <w:bCs/>
          <w:sz w:val="24"/>
          <w:szCs w:val="24"/>
        </w:rPr>
        <w:t xml:space="preserve">3.2 In-Process Area and Intermediate Product Sealing (Production Security)</w:t>
      </w:r>
    </w:p>
    <w:p>
      <w:pPr>
        <w:pStyle w:val="ListeParagraf"/>
        <w:spacing w:after="80"/>
        <w:ind w:left="709" w:right="0"/>
        <w:jc w:val="both"/>
      </w:pPr>
      <w:r>
        <w:rPr>
          <w:rFonts w:ascii="Calibri" w:hAnsi="Calibri" w:cs="Arial"/>
          <w:sz w:val="24"/>
          <w:szCs w:val="24"/>
        </w:rPr>
        <w:t xml:space="preserve">In the dyehouse and production areas, chemical stores, critical equipment areas and intermediate stock zones are sealed to prevent unauthorized access. Dyed fabric lots and semi-finished products are transferred under seal to prevent mix-ups. During the process, seals may only be opened by authorized production and quality personnel. This practice is mandatory for process control, quality continuity and production security.</w:t>
      </w:r>
    </w:p>
    <w:p>
      <w:pPr>
        <w:pStyle w:val="ListeParagraf"/>
        <w:spacing w:before="80" w:after="40"/>
        <w:ind w:left="709" w:right="0"/>
      </w:pPr>
      <w:r>
        <w:rPr>
          <w:rFonts w:ascii="Calibri" w:hAnsi="Calibri" w:cs="Arial"/>
          <w:b/>
          <w:bCs/>
          <w:sz w:val="24"/>
          <w:szCs w:val="24"/>
        </w:rPr>
        <w:t xml:space="preserve">3.3 Shipment and Export Sealing (Customs Clearance Process)</w:t>
      </w:r>
    </w:p>
    <w:p>
      <w:pPr>
        <w:pStyle w:val="ListeParagraf"/>
        <w:spacing w:after="80"/>
        <w:ind w:left="709" w:right="0"/>
        <w:jc w:val="both"/>
      </w:pPr>
      <w:r>
        <w:rPr>
          <w:rFonts w:ascii="Calibri" w:hAnsi="Calibri" w:cs="Arial"/>
          <w:sz w:val="24"/>
          <w:szCs w:val="24"/>
        </w:rPr>
        <w:t xml:space="preserve">All products leaving the garment unit are sealed on a carton, pallet or container basis. The seal numbers used in export shipments are matched one-to-one with the customs documents (invoice, packing list, exit documents). Container seals are attached and removed only by authorized logistics and security personnel. During customs clearance, seal integrity is a mandatory control criterion for export compliance.</w:t>
      </w:r>
    </w:p>
    <w:p>
      <w:pPr>
        <w:pStyle w:val="ListeParagraf"/>
        <w:spacing w:before="80" w:after="40"/>
        <w:ind w:left="709" w:right="0"/>
      </w:pPr>
      <w:r>
        <w:rPr>
          <w:rFonts w:ascii="Calibri" w:hAnsi="Calibri" w:cs="Arial"/>
          <w:b/>
          <w:bCs/>
          <w:sz w:val="24"/>
          <w:szCs w:val="24"/>
        </w:rPr>
        <w:t xml:space="preserve">3.4 Seal Tracking, Customs Compliance and Record Management</w:t>
      </w:r>
    </w:p>
    <w:p>
      <w:pPr>
        <w:pStyle w:val="ListeParagraf"/>
        <w:spacing w:after="80"/>
        <w:ind w:left="709" w:right="0"/>
        <w:jc w:val="both"/>
      </w:pPr>
      <w:r>
        <w:rPr>
          <w:rFonts w:ascii="Calibri" w:hAnsi="Calibri" w:cs="Arial"/>
          <w:sz w:val="24"/>
          <w:szCs w:val="24"/>
        </w:rPr>
        <w:t xml:space="preserve">All seals are registered by serial number and tracked in the system according to their area of use. Seal issue, use and return are carried out against signature and are regularly audited by the security unit. In export processes, any seal breakage, alteration or non-conformity is reported immediately and the customs compliance procedures are activated. This process is of critical importance for both internal audit and foreign trade compliance.</w:t>
      </w:r>
    </w:p>
    <w:p>
      <w:pPr>
        <w:pStyle w:val="ListeParagraf"/>
        <w:spacing w:before="120" w:after="60"/>
        <w:ind w:left="709" w:right="0"/>
      </w:pPr>
      <w:r>
        <w:rPr>
          <w:rFonts w:ascii="Calibri" w:hAnsi="Calibri" w:cs="Arial"/>
          <w:b/>
          <w:bCs/>
          <w:sz w:val="24"/>
          <w:szCs w:val="24"/>
        </w:rPr>
        <w:t xml:space="preserve">4. GENERAL PRINCIPLE</w:t>
      </w:r>
    </w:p>
    <w:p>
      <w:pPr>
        <w:pStyle w:val="ListeParagraf"/>
        <w:spacing w:after="80"/>
        <w:ind w:left="709" w:right="0"/>
        <w:jc w:val="both"/>
      </w:pPr>
      <w:r>
        <w:rPr>
          <w:rFonts w:ascii="Calibri" w:hAnsi="Calibri" w:cs="Arial"/>
          <w:sz w:val="24"/>
          <w:szCs w:val="24"/>
        </w:rPr>
        <w:t xml:space="preserve">At the factory, the seal system is operated along three main axes: logistics security, production control and customs compliance. Seal integrity, traceability and authorization form the basis of all processes.</w:t>
      </w:r>
    </w:p>
    <w:p>
      <w:r>
        <w:br w:type="page"/>
      </w:r>
    </w:p>
    <w:p>
      <w:pPr>
        <w:pStyle w:val="ListeParagraf"/>
        <w:bidi/>
        <w:spacing w:before="120" w:after="60"/>
        <w:ind w:left="0" w:right="709"/>
      </w:pPr>
      <w:r>
        <w:rPr>
          <w:rFonts w:ascii="Calibri" w:hAnsi="Calibri" w:cs="Arial"/>
          <w:b/>
          <w:bCs/>
          <w:rtl/>
          <w:sz w:val="24"/>
          <w:szCs w:val="24"/>
        </w:rPr>
        <w:t xml:space="preserve">1. الغرض والنطاق</w:t>
      </w:r>
    </w:p>
    <w:p>
      <w:pPr>
        <w:pStyle w:val="ListeParagraf"/>
        <w:bidi/>
        <w:spacing w:after="80"/>
        <w:ind w:left="0" w:right="709"/>
        <w:jc w:val="both"/>
      </w:pPr>
      <w:r>
        <w:rPr>
          <w:rFonts w:ascii="Calibri" w:hAnsi="Calibri" w:cs="Arial"/>
          <w:rtl/>
          <w:sz w:val="24"/>
          <w:szCs w:val="24"/>
        </w:rPr>
        <w:t xml:space="preserve">وُضع هذا الإجراء لضمان إدارة جميع الأختام المستخدمة في عمليات الغزل والصباغة والملابس الجاهزة بشكل متكامل مع عمليات الخدمات اللوجستية والأمن والتخليص الجمركي، ولحماية أمن المنتجات والمواد، ومنع التدخل غير المصرح به، وضمان التتبع في عمليات التصدير.</w:t>
      </w:r>
    </w:p>
    <w:p>
      <w:pPr>
        <w:pStyle w:val="ListeParagraf"/>
        <w:bidi/>
        <w:spacing w:after="80"/>
        <w:ind w:left="0" w:right="709"/>
        <w:jc w:val="both"/>
      </w:pPr>
      <w:r>
        <w:rPr>
          <w:rFonts w:ascii="Calibri" w:hAnsi="Calibri" w:cs="Arial"/>
          <w:rtl/>
          <w:sz w:val="24"/>
          <w:szCs w:val="24"/>
        </w:rPr>
        <w:t xml:space="preserve">يشمل هذا الإجراء جميع أنشطة الختم بدءًا من استلام المواد الخام وحتى شحن المنتج النهائي. وتتولى وحدات الغزل والصباغة والملابس الجاهزة والمستودع والخدمات اللوجستية والأمن والتخليص الجمركي مسؤولية تطبيق العملية.</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استلام المواد الخام وختم المواد (عملية القبول اللوجستي)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ختم المناطق والمنتجات الوسيطة أثناء العملية (أمن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ختم الشحنات والصادرات (عملية التخليص الجمركي)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تتبع الأختام والامتثال الجمركي وإدارة السجلات</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استلام المواد الخام وختم المواد (عملية القبول اللوجستي)</w:t>
      </w:r>
    </w:p>
    <w:p>
      <w:pPr>
        <w:pStyle w:val="ListeParagraf"/>
        <w:bidi/>
        <w:spacing w:after="80"/>
        <w:ind w:left="0" w:right="709"/>
        <w:jc w:val="both"/>
      </w:pPr>
      <w:r>
        <w:rPr>
          <w:rFonts w:ascii="Calibri" w:hAnsi="Calibri" w:cs="Arial"/>
          <w:rtl/>
          <w:sz w:val="24"/>
          <w:szCs w:val="24"/>
        </w:rPr>
        <w:t xml:space="preserve">تُفحص جميع المواد الخام الداخلة إلى المصنع (الغزل والأقمشة والمواد الكيميائية والمواد المساعدة) عند نقطة القبول اللوجستي، وتُختم أو يُتحقق من أختامها القائمة. وفي حالات الاستلام بالمركبات أو الحاويات، يُطابَق رقم الختم مع مستندات الشحن. ويُبلَّغ قسم الأمن عن الشحنات ذات الأختام غير المطابقة أو الناقصة، ويُسمح بدخولها بشكل مُراقَب. وتُعد هذه العملية نقطة تحكم حرجة لسلامة المواد وأمن سلسلة التوريد.</w:t>
      </w:r>
    </w:p>
    <w:p>
      <w:pPr>
        <w:pStyle w:val="ListeParagraf"/>
        <w:bidi/>
        <w:spacing w:before="80" w:after="40"/>
        <w:ind w:left="0" w:right="709"/>
      </w:pPr>
      <w:r>
        <w:rPr>
          <w:rFonts w:ascii="Calibri" w:hAnsi="Calibri" w:cs="Arial"/>
          <w:b/>
          <w:bCs/>
          <w:rtl/>
          <w:sz w:val="24"/>
          <w:szCs w:val="24"/>
        </w:rPr>
        <w:t xml:space="preserve">3.2 ختم المناطق والمنتجات الوسيطة أثناء العملية (أمن الإنتاج)</w:t>
      </w:r>
    </w:p>
    <w:p>
      <w:pPr>
        <w:pStyle w:val="ListeParagraf"/>
        <w:bidi/>
        <w:spacing w:after="80"/>
        <w:ind w:left="0" w:right="709"/>
        <w:jc w:val="both"/>
      </w:pPr>
      <w:r>
        <w:rPr>
          <w:rFonts w:ascii="Calibri" w:hAnsi="Calibri" w:cs="Arial"/>
          <w:rtl/>
          <w:sz w:val="24"/>
          <w:szCs w:val="24"/>
        </w:rPr>
        <w:t xml:space="preserve">في قسم الصباغة ومناطق الإنتاج، تُختم مخازن المواد الكيميائية ومناطق المعدات الحرجة ومناطق المخزون الوسيط لمنع الوصول غير المصرح به. وتُنقل دفعات الأقمشة المصبوغة والمنتجات نصف المصنعة مختومةً لمنع الاختلاط. ولا يجوز فتح الأختام أثناء العملية إلا من قِبل موظفي الإنتاج والجودة المخوَّلين. وتُعد هذه الممارسة إلزامية للتحكم في العمليات واستمرارية الجودة وأمن الإنتاج.</w:t>
      </w:r>
    </w:p>
    <w:p>
      <w:pPr>
        <w:pStyle w:val="ListeParagraf"/>
        <w:bidi/>
        <w:spacing w:before="80" w:after="40"/>
        <w:ind w:left="0" w:right="709"/>
      </w:pPr>
      <w:r>
        <w:rPr>
          <w:rFonts w:ascii="Calibri" w:hAnsi="Calibri" w:cs="Arial"/>
          <w:b/>
          <w:bCs/>
          <w:rtl/>
          <w:sz w:val="24"/>
          <w:szCs w:val="24"/>
        </w:rPr>
        <w:t xml:space="preserve">3.3 ختم الشحنات والصادرات (عملية التخليص الجمركي)</w:t>
      </w:r>
    </w:p>
    <w:p>
      <w:pPr>
        <w:pStyle w:val="ListeParagraf"/>
        <w:bidi/>
        <w:spacing w:after="80"/>
        <w:ind w:left="0" w:right="709"/>
        <w:jc w:val="both"/>
      </w:pPr>
      <w:r>
        <w:rPr>
          <w:rFonts w:ascii="Calibri" w:hAnsi="Calibri" w:cs="Arial"/>
          <w:rtl/>
          <w:sz w:val="24"/>
          <w:szCs w:val="24"/>
        </w:rPr>
        <w:t xml:space="preserve">تُختم جميع المنتجات الخارجة من قسم الملابس الجاهزة على مستوى الكرتونة أو المنصة أو الحاوية. وتُطابَق أرقام الأختام المستخدمة في شحنات التصدير مطابقةً تامة مع المستندات الجمركية (الفاتورة، قائمة التعبئة، مستندات الخروج). ولا يُركَّب ختم الحاوية ولا يُزال إلا من قِبل موظفي الخدمات اللوجستية والأمن المخوَّلين. وخلال التخليص الجمركي، تُعد سلامة الختم معيار تحكم إلزاميًا للامتثال في التصدير.</w:t>
      </w:r>
    </w:p>
    <w:p>
      <w:pPr>
        <w:pStyle w:val="ListeParagraf"/>
        <w:bidi/>
        <w:spacing w:before="80" w:after="40"/>
        <w:ind w:left="0" w:right="709"/>
      </w:pPr>
      <w:r>
        <w:rPr>
          <w:rFonts w:ascii="Calibri" w:hAnsi="Calibri" w:cs="Arial"/>
          <w:b/>
          <w:bCs/>
          <w:rtl/>
          <w:sz w:val="24"/>
          <w:szCs w:val="24"/>
        </w:rPr>
        <w:t xml:space="preserve">3.4 تتبع الأختام والامتثال الجمركي وإدارة السجلات</w:t>
      </w:r>
    </w:p>
    <w:p>
      <w:pPr>
        <w:pStyle w:val="ListeParagraf"/>
        <w:bidi/>
        <w:spacing w:after="80"/>
        <w:ind w:left="0" w:right="709"/>
        <w:jc w:val="both"/>
      </w:pPr>
      <w:r>
        <w:rPr>
          <w:rFonts w:ascii="Calibri" w:hAnsi="Calibri" w:cs="Arial"/>
          <w:rtl/>
          <w:sz w:val="24"/>
          <w:szCs w:val="24"/>
        </w:rPr>
        <w:t xml:space="preserve">تُسجَّل جميع الأختام بأرقامها التسلسلية وتُتابَع في النظام حسب مجال استخدامها. ويتم تسليم الأختام واستخدامها وإرجاعها مقابل التوقيع، ويُدقّقها قسم الأمن بانتظام. وفي عمليات التصدير، يُبلَّغ فورًا عن أي كسر في الختم أو تغيير أو عدم مطابقة، وتُفعَّل إجراءات الامتثال الجمركي. وتكتسب هذه العملية أهمية حاسمة لكل من التدقيق الداخلي والامتثال في التجارة الخارجية.</w:t>
      </w:r>
    </w:p>
    <w:p>
      <w:pPr>
        <w:pStyle w:val="ListeParagraf"/>
        <w:bidi/>
        <w:spacing w:before="120" w:after="60"/>
        <w:ind w:left="0" w:right="709"/>
      </w:pPr>
      <w:r>
        <w:rPr>
          <w:rFonts w:ascii="Calibri" w:hAnsi="Calibri" w:cs="Arial"/>
          <w:b/>
          <w:bCs/>
          <w:rtl/>
          <w:sz w:val="24"/>
          <w:szCs w:val="24"/>
        </w:rPr>
        <w:t xml:space="preserve">4. المبدأ العام</w:t>
      </w:r>
    </w:p>
    <w:p>
      <w:pPr>
        <w:pStyle w:val="ListeParagraf"/>
        <w:bidi/>
        <w:spacing w:after="80"/>
        <w:ind w:left="0" w:right="709"/>
        <w:jc w:val="both"/>
      </w:pPr>
      <w:r>
        <w:rPr>
          <w:rFonts w:ascii="Calibri" w:hAnsi="Calibri" w:cs="Arial"/>
          <w:rtl/>
          <w:sz w:val="24"/>
          <w:szCs w:val="24"/>
        </w:rPr>
        <w:t xml:space="preserve">يُدار نظام الأختام في المصنع وفق ثلاثة محاور رئيسية: الأمن اللوجستي، والتحكم في الإنتاج، والامتثال الجمركي. وتُعد سلامة الأختام والتتبع والتفويض أساسًا لجميع العمليات.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SEAL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الأختام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