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jc w:val="both"/>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The area where GOTS-approved chemicals are stored apart from others, labelled and with SDS on file.</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the Organic Chemical Storage Area and to every person who works in it or brings material to it, for all orders produced under GOTS or OCS.</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Chemical Officer:</w:t>
      </w:r>
      <w:r>
        <w:rPr>
          <w:rFonts w:ascii="Calibri" w:hAnsi="Calibri" w:cs="Arial"/>
          <w:sz w:val="24"/>
          <w:szCs w:val="24"/>
        </w:rPr>
        <w:t xml:space="preserve"> Keeps the area marked and in order, makes sure this instruction and its records are applied, and reports every problem to the OCS Coordinator.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OCS Coordinator:</w:t>
      </w:r>
      <w:r>
        <w:rPr>
          <w:rFonts w:ascii="Calibri" w:hAnsi="Calibri" w:cs="Arial"/>
          <w:sz w:val="24"/>
          <w:szCs w:val="24"/>
        </w:rPr>
        <w:t xml:space="preserve"> Approves the set-up of the area, checks the records and follows up findings and corrective actions.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Checks the area during in-line and final inspections and in the internal audit.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Operators and Handlers:</w:t>
      </w:r>
      <w:r>
        <w:rPr>
          <w:rFonts w:ascii="Calibri" w:hAnsi="Calibri" w:cs="Arial"/>
          <w:sz w:val="24"/>
          <w:szCs w:val="24"/>
        </w:rPr>
        <w:t xml:space="preserve"> Work as instructed, keep organic and conventional material apart and report any doubt at once.</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Organic area:</w:t>
      </w:r>
      <w:r>
        <w:rPr>
          <w:rFonts w:ascii="Calibri" w:hAnsi="Calibri" w:cs="Arial"/>
          <w:sz w:val="24"/>
          <w:szCs w:val="24"/>
        </w:rPr>
        <w:t xml:space="preserve"> A physically separated and clearly marked area used only for GOTS or OCS organic material.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Green label:</w:t>
      </w:r>
      <w:r>
        <w:rPr>
          <w:rFonts w:ascii="Calibri" w:hAnsi="Calibri" w:cs="Arial"/>
          <w:sz w:val="24"/>
          <w:szCs w:val="24"/>
        </w:rPr>
        <w:t xml:space="preserve"> The internal label with order, lot and TC number carried by organic material in this area.</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Conventional material:</w:t>
      </w:r>
      <w:r>
        <w:rPr>
          <w:rFonts w:ascii="Calibri" w:hAnsi="Calibri" w:cs="Arial"/>
          <w:sz w:val="24"/>
          <w:szCs w:val="24"/>
        </w:rPr>
        <w:t xml:space="preserve"> Any material that is not certified organic. It never enters this area.</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INSTRUCTIONS</w:t>
      </w:r>
    </w:p>
    <w:p>
      <w:pPr>
        <w:pStyle w:val="ListeParagraf"/>
        <w:spacing w:before="120" w:after="60"/>
        <w:ind w:left="709" w:right="0"/>
        <w:jc w:val="both"/>
      </w:pPr>
      <w:r>
        <w:rPr>
          <w:rFonts w:ascii="Calibri" w:hAnsi="Calibri" w:cs="Arial"/>
          <w:b/>
          <w:bCs/>
          <w:sz w:val="24"/>
          <w:szCs w:val="24"/>
        </w:rPr>
        <w:t xml:space="preserve">1. AREA RULES</w:t>
      </w:r>
    </w:p>
    <w:p>
      <w:pPr>
        <w:pStyle w:val="ListeParagraf"/>
        <w:spacing w:after="80"/>
        <w:ind w:left="709" w:right="0"/>
        <w:jc w:val="both"/>
      </w:pPr>
      <w:r>
        <w:rPr>
          <w:rFonts w:ascii="Calibri" w:hAnsi="Calibri" w:cs="Arial"/>
          <w:sz w:val="24"/>
          <w:szCs w:val="24"/>
        </w:rPr>
        <w:t xml:space="preserve">1.1. GOTS-approved chemicals are stored separately; unapproved ones never enter.</w:t>
      </w:r>
    </w:p>
    <w:p>
      <w:pPr>
        <w:pStyle w:val="ListeParagraf"/>
        <w:spacing w:after="80"/>
        <w:ind w:left="709" w:right="0"/>
        <w:jc w:val="both"/>
      </w:pPr>
      <w:r>
        <w:rPr>
          <w:rFonts w:ascii="Calibri" w:hAnsi="Calibri" w:cs="Arial"/>
          <w:sz w:val="24"/>
          <w:szCs w:val="24"/>
        </w:rPr>
        <w:t xml:space="preserve">1.2. Every chemical has a label and a current SDS.</w:t>
      </w:r>
    </w:p>
    <w:p>
      <w:pPr>
        <w:pStyle w:val="ListeParagraf"/>
        <w:spacing w:after="80"/>
        <w:ind w:left="709" w:right="0"/>
        <w:jc w:val="both"/>
      </w:pPr>
      <w:r>
        <w:rPr>
          <w:rFonts w:ascii="Calibri" w:hAnsi="Calibri" w:cs="Arial"/>
          <w:sz w:val="24"/>
          <w:szCs w:val="24"/>
        </w:rPr>
        <w:t xml:space="preserve">1.3. The chemical inventory and approval (positive-list) status are kept current.</w:t>
      </w:r>
    </w:p>
    <w:p>
      <w:pPr>
        <w:pStyle w:val="ListeParagraf"/>
        <w:spacing w:after="80"/>
        <w:ind w:left="709" w:right="0"/>
        <w:jc w:val="both"/>
      </w:pPr>
      <w:r>
        <w:rPr>
          <w:rFonts w:ascii="Calibri" w:hAnsi="Calibri" w:cs="Arial"/>
          <w:sz w:val="24"/>
          <w:szCs w:val="24"/>
        </w:rPr>
        <w:t xml:space="preserve">1.4. Spill and emergency equipment is ready.</w:t>
      </w:r>
    </w:p>
    <w:p>
      <w:pPr>
        <w:pStyle w:val="ListeParagraf"/>
        <w:spacing w:before="120" w:after="60"/>
        <w:ind w:left="709" w:right="0"/>
        <w:jc w:val="both"/>
      </w:pPr>
      <w:r>
        <w:rPr>
          <w:rFonts w:ascii="Calibri" w:hAnsi="Calibri" w:cs="Arial"/>
          <w:b/>
          <w:bCs/>
          <w:sz w:val="24"/>
          <w:szCs w:val="24"/>
        </w:rPr>
        <w:t xml:space="preserve">2. WORKFLOW</w:t>
      </w:r>
    </w:p>
    <w:p>
      <w:pPr>
        <w:pStyle w:val="ListeParagraf"/>
        <w:spacing w:after="80"/>
        <w:ind w:left="709" w:right="0"/>
        <w:jc w:val="both"/>
      </w:pPr>
      <w:r>
        <w:rPr>
          <w:rFonts w:ascii="Calibri" w:hAnsi="Calibri" w:cs="Arial"/>
          <w:sz w:val="24"/>
          <w:szCs w:val="24"/>
        </w:rPr>
        <w:t xml:space="preserve">2.1. Purchase request approved (GOTS conformance)</w:t>
      </w:r>
    </w:p>
    <w:p>
      <w:pPr>
        <w:pStyle w:val="ListeParagraf"/>
        <w:spacing w:after="80"/>
        <w:ind w:left="709" w:right="0"/>
        <w:jc w:val="both"/>
      </w:pPr>
      <w:r>
        <w:rPr>
          <w:rFonts w:ascii="Calibri" w:hAnsi="Calibri" w:cs="Arial"/>
          <w:sz w:val="24"/>
          <w:szCs w:val="24"/>
        </w:rPr>
        <w:t xml:space="preserve">2.2. Label, SDS and lot checked on delivery</w:t>
      </w:r>
    </w:p>
    <w:p>
      <w:pPr>
        <w:pStyle w:val="ListeParagraf"/>
        <w:spacing w:after="80"/>
        <w:ind w:left="709" w:right="0"/>
        <w:jc w:val="both"/>
      </w:pPr>
      <w:r>
        <w:rPr>
          <w:rFonts w:ascii="Calibri" w:hAnsi="Calibri" w:cs="Arial"/>
          <w:sz w:val="24"/>
          <w:szCs w:val="24"/>
        </w:rPr>
        <w:t xml:space="preserve">2.3. Stored in the segregated, ventilated area</w:t>
      </w:r>
    </w:p>
    <w:p>
      <w:pPr>
        <w:pStyle w:val="ListeParagraf"/>
        <w:spacing w:after="80"/>
        <w:ind w:left="709" w:right="0"/>
        <w:jc w:val="both"/>
      </w:pPr>
      <w:r>
        <w:rPr>
          <w:rFonts w:ascii="Calibri" w:hAnsi="Calibri" w:cs="Arial"/>
          <w:sz w:val="24"/>
          <w:szCs w:val="24"/>
        </w:rPr>
        <w:t xml:space="preserve">2.4. Issued to production with a record</w:t>
      </w:r>
    </w:p>
    <w:p>
      <w:pPr>
        <w:pStyle w:val="ListeParagraf"/>
        <w:spacing w:after="80"/>
        <w:ind w:left="709" w:right="0"/>
        <w:jc w:val="both"/>
      </w:pPr>
      <w:r>
        <w:rPr>
          <w:rFonts w:ascii="Calibri" w:hAnsi="Calibri" w:cs="Arial"/>
          <w:sz w:val="24"/>
          <w:szCs w:val="24"/>
        </w:rPr>
        <w:t xml:space="preserve">2.5. Inventory and consumption monitored</w:t>
      </w:r>
    </w:p>
    <w:p>
      <w:pPr>
        <w:pStyle w:val="ListeParagraf"/>
        <w:spacing w:before="120" w:after="60"/>
        <w:ind w:left="709" w:right="0"/>
        <w:jc w:val="both"/>
      </w:pPr>
      <w:r>
        <w:rPr>
          <w:rFonts w:ascii="Calibri" w:hAnsi="Calibri" w:cs="Arial"/>
          <w:b/>
          <w:bCs/>
          <w:sz w:val="24"/>
          <w:szCs w:val="24"/>
        </w:rPr>
        <w:t xml:space="preserve">3. CHECKS BEFORE AND DURING WORK</w:t>
      </w:r>
    </w:p>
    <w:p>
      <w:pPr>
        <w:pStyle w:val="ListeParagraf"/>
        <w:spacing w:after="80"/>
        <w:ind w:left="709" w:right="0"/>
        <w:jc w:val="both"/>
      </w:pPr>
      <w:r>
        <w:rPr>
          <w:rFonts w:ascii="Calibri" w:hAnsi="Calibri" w:cs="Arial"/>
          <w:sz w:val="24"/>
          <w:szCs w:val="24"/>
        </w:rPr>
        <w:t xml:space="preserve">3.1. Are all chemicals on the GOTS approved list?</w:t>
      </w:r>
    </w:p>
    <w:p>
      <w:pPr>
        <w:pStyle w:val="ListeParagraf"/>
        <w:spacing w:after="80"/>
        <w:ind w:left="709" w:right="0"/>
        <w:jc w:val="both"/>
      </w:pPr>
      <w:r>
        <w:rPr>
          <w:rFonts w:ascii="Calibri" w:hAnsi="Calibri" w:cs="Arial"/>
          <w:sz w:val="24"/>
          <w:szCs w:val="24"/>
        </w:rPr>
        <w:t xml:space="preserve">3.2. Are SDS and labels current?</w:t>
      </w:r>
    </w:p>
    <w:p>
      <w:pPr>
        <w:pStyle w:val="ListeParagraf"/>
        <w:spacing w:after="80"/>
        <w:ind w:left="709" w:right="0"/>
        <w:jc w:val="both"/>
      </w:pPr>
      <w:r>
        <w:rPr>
          <w:rFonts w:ascii="Calibri" w:hAnsi="Calibri" w:cs="Arial"/>
          <w:sz w:val="24"/>
          <w:szCs w:val="24"/>
        </w:rPr>
        <w:t xml:space="preserve">3.3. Is storage compliant with segregation rules?</w:t>
      </w:r>
    </w:p>
    <w:p>
      <w:pPr>
        <w:pStyle w:val="ListeParagraf"/>
        <w:spacing w:after="80"/>
        <w:ind w:left="709" w:right="0"/>
        <w:jc w:val="both"/>
      </w:pPr>
      <w:r>
        <w:rPr>
          <w:rFonts w:ascii="Calibri" w:hAnsi="Calibri" w:cs="Arial"/>
          <w:sz w:val="24"/>
          <w:szCs w:val="24"/>
        </w:rPr>
        <w:t xml:space="preserve">3.4. Are the spill kit and emergency plan ready?</w:t>
      </w:r>
    </w:p>
    <w:p>
      <w:pPr>
        <w:pStyle w:val="ListeParagraf"/>
        <w:spacing w:before="120" w:after="60"/>
        <w:ind w:left="709" w:right="0"/>
        <w:jc w:val="both"/>
      </w:pPr>
      <w:r>
        <w:rPr>
          <w:rFonts w:ascii="Calibri" w:hAnsi="Calibri" w:cs="Arial"/>
          <w:b/>
          <w:bCs/>
          <w:sz w:val="24"/>
          <w:szCs w:val="24"/>
        </w:rPr>
        <w:t xml:space="preserve">4. PROHIBITIONS</w:t>
      </w:r>
    </w:p>
    <w:p>
      <w:pPr>
        <w:pStyle w:val="ListeParagraf"/>
        <w:numPr>
          <w:ilvl w:val="0"/>
          <w:numId w:val="1"/>
        </w:numPr>
        <w:spacing w:after="60"/>
        <w:jc w:val="both"/>
      </w:pPr>
      <w:r>
        <w:rPr>
          <w:rFonts w:ascii="Calibri" w:hAnsi="Calibri" w:cs="Arial"/>
          <w:sz w:val="24"/>
          <w:szCs w:val="24"/>
        </w:rPr>
        <w:t xml:space="preserve">Do not mix organic and conventional material in this area, or on the same pallet, trolley, table or carton.</w:t>
      </w:r>
    </w:p>
    <w:p>
      <w:pPr>
        <w:pStyle w:val="ListeParagraf"/>
        <w:numPr>
          <w:ilvl w:val="0"/>
          <w:numId w:val="1"/>
        </w:numPr>
        <w:spacing w:after="60"/>
        <w:jc w:val="both"/>
      </w:pPr>
      <w:r>
        <w:rPr>
          <w:rFonts w:ascii="Calibri" w:hAnsi="Calibri" w:cs="Arial"/>
          <w:sz w:val="24"/>
          <w:szCs w:val="24"/>
        </w:rPr>
        <w:t xml:space="preserve">Do not bring unlabelled or doubtful material into the area.</w:t>
      </w:r>
    </w:p>
    <w:p>
      <w:pPr>
        <w:pStyle w:val="ListeParagraf"/>
        <w:numPr>
          <w:ilvl w:val="0"/>
          <w:numId w:val="1"/>
        </w:numPr>
        <w:spacing w:after="60"/>
        <w:jc w:val="both"/>
      </w:pPr>
      <w:r>
        <w:rPr>
          <w:rFonts w:ascii="Calibri" w:hAnsi="Calibri" w:cs="Arial"/>
          <w:sz w:val="24"/>
          <w:szCs w:val="24"/>
        </w:rPr>
        <w:t xml:space="preserve">Do not remove, cover or change the area signs or the green labels.</w:t>
      </w:r>
    </w:p>
    <w:p>
      <w:pPr>
        <w:pStyle w:val="ListeParagraf"/>
        <w:spacing w:before="120" w:after="60"/>
        <w:ind w:left="709" w:right="0"/>
        <w:jc w:val="both"/>
      </w:pPr>
      <w:r>
        <w:rPr>
          <w:rFonts w:ascii="Calibri" w:hAnsi="Calibri" w:cs="Arial"/>
          <w:b/>
          <w:bCs/>
          <w:sz w:val="24"/>
          <w:szCs w:val="24"/>
        </w:rPr>
        <w:t xml:space="preserve">5. IN CASE OF PROBLEM</w:t>
      </w:r>
    </w:p>
    <w:p>
      <w:pPr>
        <w:pStyle w:val="ListeParagraf"/>
        <w:spacing w:after="80"/>
        <w:ind w:left="709" w:right="0"/>
        <w:jc w:val="both"/>
      </w:pPr>
      <w:r>
        <w:rPr>
          <w:rFonts w:ascii="Calibri" w:hAnsi="Calibri" w:cs="Arial"/>
          <w:sz w:val="24"/>
          <w:szCs w:val="24"/>
        </w:rPr>
        <w:t xml:space="preserve">5.1. If organic and conventional material are mixed, or the status of a material is doubtful, stop work, move the material to the yellow holding area and inform the OCS Coordinator immediately.</w:t>
      </w:r>
    </w:p>
    <w:p>
      <w:pPr>
        <w:pStyle w:val="ListeParagraf"/>
        <w:spacing w:after="80"/>
        <w:ind w:left="709" w:right="0"/>
        <w:jc w:val="both"/>
      </w:pPr>
      <w:r>
        <w:rPr>
          <w:rFonts w:ascii="Calibri" w:hAnsi="Calibri" w:cs="Arial"/>
          <w:sz w:val="24"/>
          <w:szCs w:val="24"/>
        </w:rPr>
        <w:t xml:space="preserve">5.2. Record the case on the Organic Nonconforming Product and Hold Notice (EMS.OR.FRM.21.23). Nonconforming product goes to the red blocked area and is never sold as organic.</w:t>
      </w:r>
    </w:p>
    <w:p>
      <w:pPr>
        <w:pStyle w:val="ListeParagraf"/>
        <w:spacing w:before="120" w:after="60"/>
        <w:ind w:left="709" w:right="0"/>
        <w:jc w:val="both"/>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EMS.OR.POL.21.01. Organic Content Policy</w:t>
      </w:r>
    </w:p>
    <w:p>
      <w:pPr>
        <w:pStyle w:val="ListeParagraf"/>
        <w:numPr>
          <w:ilvl w:val="0"/>
          <w:numId w:val="1"/>
        </w:numPr>
        <w:spacing w:after="60"/>
        <w:jc w:val="both"/>
      </w:pPr>
      <w:r>
        <w:rPr>
          <w:rFonts w:ascii="Calibri" w:hAnsi="Calibri" w:cs="Arial"/>
          <w:sz w:val="24"/>
          <w:szCs w:val="24"/>
        </w:rPr>
        <w:t xml:space="preserve">EMS.OR.PRO.21.01. OCS Material Handling, Segregation and Traceability Procedure</w:t>
      </w:r>
    </w:p>
    <w:p>
      <w:pPr>
        <w:pStyle w:val="ListeParagraf"/>
        <w:numPr>
          <w:ilvl w:val="0"/>
          <w:numId w:val="1"/>
        </w:numPr>
        <w:spacing w:after="60"/>
        <w:jc w:val="both"/>
      </w:pPr>
      <w:r>
        <w:rPr>
          <w:rFonts w:ascii="Calibri" w:hAnsi="Calibri" w:cs="Arial"/>
          <w:sz w:val="24"/>
          <w:szCs w:val="24"/>
        </w:rPr>
        <w:t xml:space="preserve">EMS.OR.PRO.21.02. Organic Production Area Segregation and Visual Identification Procedure</w:t>
      </w:r>
    </w:p>
    <w:p>
      <w:pPr>
        <w:pStyle w:val="ListeParagraf"/>
        <w:numPr>
          <w:ilvl w:val="0"/>
          <w:numId w:val="1"/>
        </w:numPr>
        <w:spacing w:after="60"/>
        <w:jc w:val="both"/>
      </w:pPr>
      <w:r>
        <w:rPr>
          <w:rFonts w:ascii="Calibri" w:hAnsi="Calibri" w:cs="Arial"/>
          <w:sz w:val="24"/>
          <w:szCs w:val="24"/>
        </w:rPr>
        <w:t xml:space="preserve">EMS.OR.TL.21.01. Organic Product Identification and Labelling Instruction</w:t>
      </w:r>
    </w:p>
    <w:p>
      <w:pPr>
        <w:pStyle w:val="ListeParagraf"/>
        <w:numPr>
          <w:ilvl w:val="0"/>
          <w:numId w:val="1"/>
        </w:numPr>
        <w:spacing w:after="60"/>
        <w:jc w:val="both"/>
      </w:pPr>
      <w:r>
        <w:rPr>
          <w:rFonts w:ascii="Calibri" w:hAnsi="Calibri" w:cs="Arial"/>
          <w:sz w:val="24"/>
          <w:szCs w:val="24"/>
        </w:rPr>
        <w:t xml:space="preserve">EMS.OR.TL.21.02. Organic Area Changeover and Line Clearance Cleaning Instruction</w:t>
      </w:r>
    </w:p>
    <w:p>
      <w:pPr>
        <w:pStyle w:val="ListeParagraf"/>
        <w:numPr>
          <w:ilvl w:val="0"/>
          <w:numId w:val="1"/>
        </w:numPr>
        <w:spacing w:after="60"/>
        <w:jc w:val="both"/>
      </w:pPr>
      <w:r>
        <w:rPr>
          <w:rFonts w:ascii="Calibri" w:hAnsi="Calibri" w:cs="Arial"/>
          <w:sz w:val="24"/>
          <w:szCs w:val="24"/>
        </w:rPr>
        <w:t xml:space="preserve">EMS.OR.FRM.21.20. Organic Chemical Receiving and Use Record</w:t>
      </w:r>
    </w:p>
    <w:p>
      <w:pPr>
        <w:pStyle w:val="ListeParagraf"/>
        <w:numPr>
          <w:ilvl w:val="0"/>
          <w:numId w:val="1"/>
        </w:numPr>
        <w:spacing w:after="60"/>
        <w:jc w:val="both"/>
      </w:pPr>
      <w:r>
        <w:rPr>
          <w:rFonts w:ascii="Calibri" w:hAnsi="Calibri" w:cs="Arial"/>
          <w:sz w:val="24"/>
          <w:szCs w:val="24"/>
        </w:rPr>
        <w:t xml:space="preserve">EMS.OR.FRM.21.23. Organic Nonconforming Product and Hold Notice</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The Chemical Officer checks the application of this instruction every week and the OCS Coordinator reviews the records every month. The instruction is reviewed at least once a year and whenever the GOTS or OCS standard, customer requirements or the area layout change.</w:t>
      </w:r>
    </w:p>
    <w:p>
      <w:r>
        <w:br w:type="page"/>
      </w:r>
    </w:p>
    <w:p>
      <w:pPr>
        <w:pStyle w:val="ListeParagraf"/>
        <w:bidi/>
        <w:spacing w:before="120" w:after="60"/>
        <w:ind w:left="0" w:right="709"/>
        <w:jc w:val="both"/>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المنطقة اللي بتتخزن فيها المواد المعتمدة من GOTS بعيد عن غيرها ومتعلّمة ومعاها أوراق السلامة.</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التعليمات دي بتتطبق على منطقة تخزين المواد الكيميائية العضوية وعلى كل شخص بيشتغل فيها أو بيدخّل لها مواد، في كل الأوردرات اللي بتتنتج حسب GOTS أو OCS.</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المواد الكيميائية:</w:t>
      </w:r>
      <w:r>
        <w:rPr>
          <w:rFonts w:ascii="Calibri" w:hAnsi="Calibri" w:cs="Arial"/>
          <w:rtl/>
          <w:sz w:val="24"/>
          <w:szCs w:val="24"/>
        </w:rPr>
        <w:t xml:space="preserve"> بيحافظ على علامات المنطقة وترتيبها، وبيتأكد إن التعليمات دي وسجلاتها متطبقة، وبيبلّغ منسق OCS بأي مشكلة.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منسق OCS:</w:t>
      </w:r>
      <w:r>
        <w:rPr>
          <w:rFonts w:ascii="Calibri" w:hAnsi="Calibri" w:cs="Arial"/>
          <w:rtl/>
          <w:sz w:val="24"/>
          <w:szCs w:val="24"/>
        </w:rPr>
        <w:t xml:space="preserve"> بيعتمد تجهيز المنطقة، وبيراجع السجلات، وبيتابع الملاحظات والإجراءات التصحيحية.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بيفحص المنطقة أثناء الفحص على الخط والفحص النهائي وفي التدقيق الداخلي.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المشغّلون والعمال:</w:t>
      </w:r>
      <w:r>
        <w:rPr>
          <w:rFonts w:ascii="Calibri" w:hAnsi="Calibri" w:cs="Arial"/>
          <w:rtl/>
          <w:sz w:val="24"/>
          <w:szCs w:val="24"/>
        </w:rPr>
        <w:t xml:space="preserve"> بيشتغلوا حسب التعليمات، وبيفصلوا المواد العضوية عن التقليدية، وبيبلّغوا فوراً عن أي شك.</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المنطقة العضوية:</w:t>
      </w:r>
      <w:r>
        <w:rPr>
          <w:rFonts w:ascii="Calibri" w:hAnsi="Calibri" w:cs="Arial"/>
          <w:rtl/>
          <w:sz w:val="24"/>
          <w:szCs w:val="24"/>
        </w:rPr>
        <w:t xml:space="preserve"> منطقة مفصولة فعلياً ومعلّمة بوضوح، بتُستخدم للمواد العضوية GOTS أو OCS بس.</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الملصق الأخضر:</w:t>
      </w:r>
      <w:r>
        <w:rPr>
          <w:rFonts w:ascii="Calibri" w:hAnsi="Calibri" w:cs="Arial"/>
          <w:rtl/>
          <w:sz w:val="24"/>
          <w:szCs w:val="24"/>
        </w:rPr>
        <w:t xml:space="preserve"> ملصق التمييز الداخلي اللي عليه رقم الأوردر والدفعة وشهادة TC، وبتشيله المواد العضوية في المنطقة دي.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المادة التقليدية:</w:t>
      </w:r>
      <w:r>
        <w:rPr>
          <w:rFonts w:ascii="Calibri" w:hAnsi="Calibri" w:cs="Arial"/>
          <w:rtl/>
          <w:sz w:val="24"/>
          <w:szCs w:val="24"/>
        </w:rPr>
        <w:t xml:space="preserve"> أي مادة مش معتمدة عضوية. وما بتدخلش المنطقة دي أبداً.</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التعليمات</w:t>
      </w:r>
    </w:p>
    <w:p>
      <w:pPr>
        <w:pStyle w:val="ListeParagraf"/>
        <w:bidi/>
        <w:spacing w:before="120" w:after="60"/>
        <w:ind w:left="0" w:right="709"/>
        <w:jc w:val="both"/>
      </w:pPr>
      <w:r>
        <w:rPr>
          <w:rFonts w:ascii="Calibri" w:hAnsi="Calibri" w:cs="Arial"/>
          <w:b/>
          <w:bCs/>
          <w:rtl/>
          <w:sz w:val="24"/>
          <w:szCs w:val="24"/>
        </w:rPr>
        <w:t xml:space="preserve">1. قواعد المنطقة</w:t>
      </w:r>
    </w:p>
    <w:p>
      <w:pPr>
        <w:pStyle w:val="ListeParagraf"/>
        <w:bidi/>
        <w:spacing w:after="80"/>
        <w:ind w:left="0" w:right="709"/>
        <w:jc w:val="both"/>
      </w:pPr>
      <w:r>
        <w:rPr>
          <w:rFonts w:ascii="Calibri" w:hAnsi="Calibri" w:cs="Arial"/>
          <w:rtl/>
          <w:sz w:val="24"/>
          <w:szCs w:val="24"/>
        </w:rPr>
        <w:t xml:space="preserve">1.1. المواد المعتمدة من GOTS بتتخزن لوحدها وغير المعتمدة ما تدخلش.</w:t>
      </w:r>
    </w:p>
    <w:p>
      <w:pPr>
        <w:pStyle w:val="ListeParagraf"/>
        <w:bidi/>
        <w:spacing w:after="80"/>
        <w:ind w:left="0" w:right="709"/>
        <w:jc w:val="both"/>
      </w:pPr>
      <w:r>
        <w:rPr>
          <w:rFonts w:ascii="Calibri" w:hAnsi="Calibri" w:cs="Arial"/>
          <w:rtl/>
          <w:sz w:val="24"/>
          <w:szCs w:val="24"/>
        </w:rPr>
        <w:t xml:space="preserve">1.2. كل مادة عليها ملصق وصحيفة بيانات سلامة حديثة.</w:t>
      </w:r>
    </w:p>
    <w:p>
      <w:pPr>
        <w:pStyle w:val="ListeParagraf"/>
        <w:bidi/>
        <w:spacing w:after="80"/>
        <w:ind w:left="0" w:right="709"/>
        <w:jc w:val="both"/>
      </w:pPr>
      <w:r>
        <w:rPr>
          <w:rFonts w:ascii="Calibri" w:hAnsi="Calibri" w:cs="Arial"/>
          <w:rtl/>
          <w:sz w:val="24"/>
          <w:szCs w:val="24"/>
        </w:rPr>
        <w:t xml:space="preserve">1.3. جرد المواد وحالة الاعتماد (القائمة الإيجابية) بيتحدثوا.</w:t>
      </w:r>
    </w:p>
    <w:p>
      <w:pPr>
        <w:pStyle w:val="ListeParagraf"/>
        <w:bidi/>
        <w:spacing w:after="80"/>
        <w:ind w:left="0" w:right="709"/>
        <w:jc w:val="both"/>
      </w:pPr>
      <w:r>
        <w:rPr>
          <w:rFonts w:ascii="Calibri" w:hAnsi="Calibri" w:cs="Arial"/>
          <w:rtl/>
          <w:sz w:val="24"/>
          <w:szCs w:val="24"/>
        </w:rPr>
        <w:t xml:space="preserve">1.4. معدات الانسكاب والطوارئ جاهزة.</w:t>
      </w:r>
    </w:p>
    <w:p>
      <w:pPr>
        <w:pStyle w:val="ListeParagraf"/>
        <w:bidi/>
        <w:spacing w:before="120" w:after="60"/>
        <w:ind w:left="0" w:right="709"/>
        <w:jc w:val="both"/>
      </w:pPr>
      <w:r>
        <w:rPr>
          <w:rFonts w:ascii="Calibri" w:hAnsi="Calibri" w:cs="Arial"/>
          <w:b/>
          <w:bCs/>
          <w:rtl/>
          <w:sz w:val="24"/>
          <w:szCs w:val="24"/>
        </w:rPr>
        <w:t xml:space="preserve">2. تسلسل العمل</w:t>
      </w:r>
    </w:p>
    <w:p>
      <w:pPr>
        <w:pStyle w:val="ListeParagraf"/>
        <w:bidi/>
        <w:spacing w:after="80"/>
        <w:ind w:left="0" w:right="709"/>
        <w:jc w:val="both"/>
      </w:pPr>
      <w:r>
        <w:rPr>
          <w:rFonts w:ascii="Calibri" w:hAnsi="Calibri" w:cs="Arial"/>
          <w:rtl/>
          <w:sz w:val="24"/>
          <w:szCs w:val="24"/>
        </w:rPr>
        <w:t xml:space="preserve">2.1. اعتماد طلب الشراء (مطابقة GOTS)</w:t>
      </w:r>
    </w:p>
    <w:p>
      <w:pPr>
        <w:pStyle w:val="ListeParagraf"/>
        <w:bidi/>
        <w:spacing w:after="80"/>
        <w:ind w:left="0" w:right="709"/>
        <w:jc w:val="both"/>
      </w:pPr>
      <w:r>
        <w:rPr>
          <w:rFonts w:ascii="Calibri" w:hAnsi="Calibri" w:cs="Arial"/>
          <w:rtl/>
          <w:sz w:val="24"/>
          <w:szCs w:val="24"/>
        </w:rPr>
        <w:t xml:space="preserve">2.2. مراجعة الملصق وSDS والدفعة عند الاستلام</w:t>
      </w:r>
    </w:p>
    <w:p>
      <w:pPr>
        <w:pStyle w:val="ListeParagraf"/>
        <w:bidi/>
        <w:spacing w:after="80"/>
        <w:ind w:left="0" w:right="709"/>
        <w:jc w:val="both"/>
      </w:pPr>
      <w:r>
        <w:rPr>
          <w:rFonts w:ascii="Calibri" w:hAnsi="Calibri" w:cs="Arial"/>
          <w:rtl/>
          <w:sz w:val="24"/>
          <w:szCs w:val="24"/>
        </w:rPr>
        <w:t xml:space="preserve">2.3. التخزين في منطقة منفصلة وتهويتها كويسة</w:t>
      </w:r>
    </w:p>
    <w:p>
      <w:pPr>
        <w:pStyle w:val="ListeParagraf"/>
        <w:bidi/>
        <w:spacing w:after="80"/>
        <w:ind w:left="0" w:right="709"/>
        <w:jc w:val="both"/>
      </w:pPr>
      <w:r>
        <w:rPr>
          <w:rFonts w:ascii="Calibri" w:hAnsi="Calibri" w:cs="Arial"/>
          <w:rtl/>
          <w:sz w:val="24"/>
          <w:szCs w:val="24"/>
        </w:rPr>
        <w:t xml:space="preserve">2.4. الصرف للإنتاج مع التسجيل</w:t>
      </w:r>
    </w:p>
    <w:p>
      <w:pPr>
        <w:pStyle w:val="ListeParagraf"/>
        <w:bidi/>
        <w:spacing w:after="80"/>
        <w:ind w:left="0" w:right="709"/>
        <w:jc w:val="both"/>
      </w:pPr>
      <w:r>
        <w:rPr>
          <w:rFonts w:ascii="Calibri" w:hAnsi="Calibri" w:cs="Arial"/>
          <w:rtl/>
          <w:sz w:val="24"/>
          <w:szCs w:val="24"/>
        </w:rPr>
        <w:t xml:space="preserve">2.5. متابعة الجرد والاستهلاك</w:t>
      </w:r>
    </w:p>
    <w:p>
      <w:pPr>
        <w:pStyle w:val="ListeParagraf"/>
        <w:bidi/>
        <w:spacing w:before="120" w:after="60"/>
        <w:ind w:left="0" w:right="709"/>
        <w:jc w:val="both"/>
      </w:pPr>
      <w:r>
        <w:rPr>
          <w:rFonts w:ascii="Calibri" w:hAnsi="Calibri" w:cs="Arial"/>
          <w:b/>
          <w:bCs/>
          <w:rtl/>
          <w:sz w:val="24"/>
          <w:szCs w:val="24"/>
        </w:rPr>
        <w:t xml:space="preserve">3. الفحوصات قبل العمل وأثناءه</w:t>
      </w:r>
    </w:p>
    <w:p>
      <w:pPr>
        <w:pStyle w:val="ListeParagraf"/>
        <w:bidi/>
        <w:spacing w:after="80"/>
        <w:ind w:left="0" w:right="709"/>
        <w:jc w:val="both"/>
      </w:pPr>
      <w:r>
        <w:rPr>
          <w:rFonts w:ascii="Calibri" w:hAnsi="Calibri" w:cs="Arial"/>
          <w:rtl/>
          <w:sz w:val="24"/>
          <w:szCs w:val="24"/>
        </w:rPr>
        <w:t xml:space="preserve">3.1. كل المواد في قائمة GOTS المعتمدة؟</w:t>
      </w:r>
    </w:p>
    <w:p>
      <w:pPr>
        <w:pStyle w:val="ListeParagraf"/>
        <w:bidi/>
        <w:spacing w:after="80"/>
        <w:ind w:left="0" w:right="709"/>
        <w:jc w:val="both"/>
      </w:pPr>
      <w:r>
        <w:rPr>
          <w:rFonts w:ascii="Calibri" w:hAnsi="Calibri" w:cs="Arial"/>
          <w:rtl/>
          <w:sz w:val="24"/>
          <w:szCs w:val="24"/>
        </w:rPr>
        <w:t xml:space="preserve">3.2. أوراق السلامة والملصقات حديثة؟</w:t>
      </w:r>
    </w:p>
    <w:p>
      <w:pPr>
        <w:pStyle w:val="ListeParagraf"/>
        <w:bidi/>
        <w:spacing w:after="80"/>
        <w:ind w:left="0" w:right="709"/>
        <w:jc w:val="both"/>
      </w:pPr>
      <w:r>
        <w:rPr>
          <w:rFonts w:ascii="Calibri" w:hAnsi="Calibri" w:cs="Arial"/>
          <w:rtl/>
          <w:sz w:val="24"/>
          <w:szCs w:val="24"/>
        </w:rPr>
        <w:t xml:space="preserve">3.3. التخزين ملتزم بقواعد الفصل؟</w:t>
      </w:r>
    </w:p>
    <w:p>
      <w:pPr>
        <w:pStyle w:val="ListeParagraf"/>
        <w:bidi/>
        <w:spacing w:after="80"/>
        <w:ind w:left="0" w:right="709"/>
        <w:jc w:val="both"/>
      </w:pPr>
      <w:r>
        <w:rPr>
          <w:rFonts w:ascii="Calibri" w:hAnsi="Calibri" w:cs="Arial"/>
          <w:rtl/>
          <w:sz w:val="24"/>
          <w:szCs w:val="24"/>
        </w:rPr>
        <w:t xml:space="preserve">3.4. طقم الانسكاب وخطة الطوارئ جاهزين؟</w:t>
      </w:r>
    </w:p>
    <w:p>
      <w:pPr>
        <w:pStyle w:val="ListeParagraf"/>
        <w:bidi/>
        <w:spacing w:before="120" w:after="60"/>
        <w:ind w:left="0" w:right="709"/>
        <w:jc w:val="both"/>
      </w:pPr>
      <w:r>
        <w:rPr>
          <w:rFonts w:ascii="Calibri" w:hAnsi="Calibri" w:cs="Arial"/>
          <w:b/>
          <w:bCs/>
          <w:rtl/>
          <w:sz w:val="24"/>
          <w:szCs w:val="24"/>
        </w:rPr>
        <w:t xml:space="preserve">4. المحظورات</w:t>
      </w:r>
    </w:p>
    <w:p>
      <w:pPr>
        <w:pStyle w:val="ListeParagraf"/>
        <w:numPr>
          <w:ilvl w:val="0"/>
          <w:numId w:val="1"/>
        </w:numPr>
        <w:bidi/>
        <w:spacing w:after="60"/>
        <w:jc w:val="both"/>
      </w:pPr>
      <w:r>
        <w:rPr>
          <w:rFonts w:ascii="Calibri" w:hAnsi="Calibri" w:cs="Arial"/>
          <w:rtl/>
          <w:sz w:val="24"/>
          <w:szCs w:val="24"/>
        </w:rPr>
        <w:t xml:space="preserve">لا تخلط المواد العضوية والتقليدية في المنطقة دي، ولا على نفس البالتة أو العربية أو الترابيزة أو الكرتونة.</w:t>
      </w:r>
    </w:p>
    <w:p>
      <w:pPr>
        <w:pStyle w:val="ListeParagraf"/>
        <w:numPr>
          <w:ilvl w:val="0"/>
          <w:numId w:val="1"/>
        </w:numPr>
        <w:bidi/>
        <w:spacing w:after="60"/>
        <w:jc w:val="both"/>
      </w:pPr>
      <w:r>
        <w:rPr>
          <w:rFonts w:ascii="Calibri" w:hAnsi="Calibri" w:cs="Arial"/>
          <w:rtl/>
          <w:sz w:val="24"/>
          <w:szCs w:val="24"/>
        </w:rPr>
        <w:t xml:space="preserve">لا تدخّل مادة من غير ملصق أو مشكوك في حالتها للمنطقة.</w:t>
      </w:r>
    </w:p>
    <w:p>
      <w:pPr>
        <w:pStyle w:val="ListeParagraf"/>
        <w:numPr>
          <w:ilvl w:val="0"/>
          <w:numId w:val="1"/>
        </w:numPr>
        <w:bidi/>
        <w:spacing w:after="60"/>
        <w:jc w:val="both"/>
      </w:pPr>
      <w:r>
        <w:rPr>
          <w:rFonts w:ascii="Calibri" w:hAnsi="Calibri" w:cs="Arial"/>
          <w:rtl/>
          <w:sz w:val="24"/>
          <w:szCs w:val="24"/>
        </w:rPr>
        <w:t xml:space="preserve">لا تشيل ولا تغطّي ولا تغيّر لافتات المنطقة أو الملصقات الخضراء.</w:t>
      </w:r>
    </w:p>
    <w:p>
      <w:pPr>
        <w:pStyle w:val="ListeParagraf"/>
        <w:bidi/>
        <w:spacing w:before="120" w:after="60"/>
        <w:ind w:left="0" w:right="709"/>
        <w:jc w:val="both"/>
      </w:pPr>
      <w:r>
        <w:rPr>
          <w:rFonts w:ascii="Calibri" w:hAnsi="Calibri" w:cs="Arial"/>
          <w:b/>
          <w:bCs/>
          <w:rtl/>
          <w:sz w:val="24"/>
          <w:szCs w:val="24"/>
        </w:rPr>
        <w:t xml:space="preserve">5. في حالة وجود مشكلة</w:t>
      </w:r>
    </w:p>
    <w:p>
      <w:pPr>
        <w:pStyle w:val="ListeParagraf"/>
        <w:bidi/>
        <w:spacing w:after="80"/>
        <w:ind w:left="0" w:right="709"/>
        <w:jc w:val="both"/>
      </w:pPr>
      <w:r>
        <w:rPr>
          <w:rFonts w:ascii="Calibri" w:hAnsi="Calibri" w:cs="Arial"/>
          <w:rtl/>
          <w:sz w:val="24"/>
          <w:szCs w:val="24"/>
        </w:rPr>
        <w:t xml:space="preserve">5.1. لو المواد العضوية والتقليدية اتخلطت، أو حالة مادة مشكوك فيها، وقّف الشغل، وانقل المادة لمنطقة الانتظار الصفراء، وبلّغ منسق OCS فوراً.</w:t>
      </w:r>
    </w:p>
    <w:p>
      <w:pPr>
        <w:pStyle w:val="ListeParagraf"/>
        <w:bidi/>
        <w:spacing w:after="80"/>
        <w:ind w:left="0" w:right="709"/>
        <w:jc w:val="both"/>
      </w:pPr>
      <w:r>
        <w:rPr>
          <w:rFonts w:ascii="Calibri" w:hAnsi="Calibri" w:cs="Arial"/>
          <w:rtl/>
          <w:sz w:val="24"/>
          <w:szCs w:val="24"/>
        </w:rPr>
        <w:t xml:space="preserve">5.2. سجّل الحالة في نموذج إشعار المنتج العضوي غير المطابق والحجز (EMS.OR.FRM.21.23). المنتج غير المطابق بيروح لمنطقة الحجز الحمراء وما بيتباعش على إنه عضوي أبداً.</w:t>
      </w:r>
    </w:p>
    <w:p>
      <w:pPr>
        <w:pStyle w:val="ListeParagraf"/>
        <w:bidi/>
        <w:spacing w:before="120" w:after="60"/>
        <w:ind w:left="0" w:right="709"/>
        <w:jc w:val="both"/>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EMS.OR.POL.21.01. سياسة المحتوى العضوي</w:t>
      </w:r>
    </w:p>
    <w:p>
      <w:pPr>
        <w:pStyle w:val="ListeParagraf"/>
        <w:numPr>
          <w:ilvl w:val="0"/>
          <w:numId w:val="1"/>
        </w:numPr>
        <w:bidi/>
        <w:spacing w:after="60"/>
        <w:jc w:val="both"/>
      </w:pPr>
      <w:r>
        <w:rPr>
          <w:rFonts w:ascii="Calibri" w:hAnsi="Calibri" w:cs="Arial"/>
          <w:rtl/>
          <w:sz w:val="24"/>
          <w:szCs w:val="24"/>
        </w:rPr>
        <w:t xml:space="preserve">EMS.OR.PRO.21.01. إجراء مناولة مواد OCS وفصلها وتتبعها</w:t>
      </w:r>
    </w:p>
    <w:p>
      <w:pPr>
        <w:pStyle w:val="ListeParagraf"/>
        <w:numPr>
          <w:ilvl w:val="0"/>
          <w:numId w:val="1"/>
        </w:numPr>
        <w:bidi/>
        <w:spacing w:after="60"/>
        <w:jc w:val="both"/>
      </w:pPr>
      <w:r>
        <w:rPr>
          <w:rFonts w:ascii="Calibri" w:hAnsi="Calibri" w:cs="Arial"/>
          <w:rtl/>
          <w:sz w:val="24"/>
          <w:szCs w:val="24"/>
        </w:rPr>
        <w:t xml:space="preserve">EMS.OR.PRO.21.02. إجراء فصل مناطق الإنتاج العضوي وتمييزها بصرياً</w:t>
      </w:r>
    </w:p>
    <w:p>
      <w:pPr>
        <w:pStyle w:val="ListeParagraf"/>
        <w:numPr>
          <w:ilvl w:val="0"/>
          <w:numId w:val="1"/>
        </w:numPr>
        <w:bidi/>
        <w:spacing w:after="60"/>
        <w:jc w:val="both"/>
      </w:pPr>
      <w:r>
        <w:rPr>
          <w:rFonts w:ascii="Calibri" w:hAnsi="Calibri" w:cs="Arial"/>
          <w:rtl/>
          <w:sz w:val="24"/>
          <w:szCs w:val="24"/>
        </w:rPr>
        <w:t xml:space="preserve">EMS.OR.TL.21.01. تعليمات تمييز المنتجات العضوية وتوسيمها</w:t>
      </w:r>
    </w:p>
    <w:p>
      <w:pPr>
        <w:pStyle w:val="ListeParagraf"/>
        <w:numPr>
          <w:ilvl w:val="0"/>
          <w:numId w:val="1"/>
        </w:numPr>
        <w:bidi/>
        <w:spacing w:after="60"/>
        <w:jc w:val="both"/>
      </w:pPr>
      <w:r>
        <w:rPr>
          <w:rFonts w:ascii="Calibri" w:hAnsi="Calibri" w:cs="Arial"/>
          <w:rtl/>
          <w:sz w:val="24"/>
          <w:szCs w:val="24"/>
        </w:rPr>
        <w:t xml:space="preserve">EMS.OR.TL.21.02. تعليمات التنظيف عند تبديل المنطقة العضوية وتفريغ الخط</w:t>
      </w:r>
    </w:p>
    <w:p>
      <w:pPr>
        <w:pStyle w:val="ListeParagraf"/>
        <w:numPr>
          <w:ilvl w:val="0"/>
          <w:numId w:val="1"/>
        </w:numPr>
        <w:bidi/>
        <w:spacing w:after="60"/>
        <w:jc w:val="both"/>
      </w:pPr>
      <w:r>
        <w:rPr>
          <w:rFonts w:ascii="Calibri" w:hAnsi="Calibri" w:cs="Arial"/>
          <w:rtl/>
          <w:sz w:val="24"/>
          <w:szCs w:val="24"/>
        </w:rPr>
        <w:t xml:space="preserve">EMS.OR.FRM.21.20. سجل استلام واستخدام المواد الكيميائية العضوية</w:t>
      </w:r>
    </w:p>
    <w:p>
      <w:pPr>
        <w:pStyle w:val="ListeParagraf"/>
        <w:numPr>
          <w:ilvl w:val="0"/>
          <w:numId w:val="1"/>
        </w:numPr>
        <w:bidi/>
        <w:spacing w:after="60"/>
        <w:jc w:val="both"/>
      </w:pPr>
      <w:r>
        <w:rPr>
          <w:rFonts w:ascii="Calibri" w:hAnsi="Calibri" w:cs="Arial"/>
          <w:rtl/>
          <w:sz w:val="24"/>
          <w:szCs w:val="24"/>
        </w:rPr>
        <w:t xml:space="preserve">EMS.OR.FRM.21.23. نموذج إشعار المنتج العضوي غير المطابق والحجز</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7. المتابعة والمراجعة</w:t>
      </w:r>
    </w:p>
    <w:p>
      <w:pPr>
        <w:pStyle w:val="ListeParagraf"/>
        <w:bidi/>
        <w:spacing w:after="80"/>
        <w:ind w:left="0" w:right="709"/>
        <w:jc w:val="both"/>
      </w:pPr>
      <w:r>
        <w:rPr>
          <w:rFonts w:ascii="Calibri" w:hAnsi="Calibri" w:cs="Arial"/>
          <w:rtl/>
          <w:sz w:val="24"/>
          <w:szCs w:val="24"/>
        </w:rPr>
        <w:t xml:space="preserve">مسؤول المواد الكيميائية بيتحقق من تطبيق التعليمات دي كل أسبوع، ومنسق OCS بيراجع السجلات كل شهر. وبتتراجع التعليمات مرة في السنة على الأقل، وكمان لما بيتغير معيار GOTS أو OCS أو متطلبات العملاء أو تخطيط المنطقة.</w:t>
      </w:r>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OCS / GOTS Koordinatörü (Sürdürülebilirlik / Kalite)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ORGANIC CHEMICAL STORAGE AREA INSTRUCTION</w:t>
          </w:r>
        </w:p>
        <w:p>
          <w:pPr>
            <w:pStyle w:val="GvdeMetni2"/>
            <w:bidi/>
            <w:spacing w:line="276" w:lineRule="auto"/>
            <w:jc w:val="center"/>
          </w:pPr>
          <w:r>
            <w:rPr>
              <w:rFonts w:asciiTheme="minorHAnsi" w:hAnsiTheme="minorHAnsi" w:cs="Arial"/>
              <w:b/>
              <w:bCs/>
              <w:color w:val="000000" w:themeColor="text1"/>
              <w:sz w:val="22"/>
              <w:szCs w:val="22"/>
              <w:rtl/>
            </w:rPr>
            <w:t>تعليمات منطقة تخزين المواد الكيميائية العضوية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EMS.OR.TL.21.15.</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
          </w:r>
          <w:r w:rsidR="00EA160E">
            <w:rPr>
              <w:rFonts w:cstheme="minorHAnsi"/>
              <w:sz w:val="16"/>
              <w:szCs w:val="16"/>
            </w:rPr>
            <w:t>-</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22.10.2026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EMS.OR.TL.21.01. ORGANIC PRODUCT IDENTIFICATION AND LABELLING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