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200" w:before="0" w:line="300"/>
        <w:jc w:val="center"/>
      </w:pPr>
      <w:r>
        <w:rPr>
          <w:rFonts w:ascii="Nikosh" w:cs="Nikosh" w:eastAsia="Nikosh" w:hAnsi="Nikosh"/>
          <w:b/>
          <w:bCs/>
          <w:sz w:val="32"/>
          <w:szCs w:val="32"/>
        </w:rPr>
        <w:t xml:space="preserve">নোট শীট</w:t>
      </w:r>
    </w:p>
    <w:p>
      <w:pPr>
        <w:keepNext/>
        <w:spacing w:after="0" w:before="0" w:line="300"/>
        <w:jc w:val="center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বাংলাদেশ স্ট্যান্ডার্ডস অ্যান্ড টেস্টিং ইনস্টিটিউশন (বিএসটিআই)</w:t>
      </w:r>
      <w:r>
        <w:rPr>
          <w:rFonts w:ascii="Nikosh" w:cs="Nikosh" w:eastAsia="Nikosh" w:hAnsi="Nikosh"/>
          <w:sz w:val="26"/>
          <w:szCs w:val="26"/>
        </w:rPr>
        <w:t xml:space="preserve"/>
      </w:r>
    </w:p>
    <w:p>
      <w:pPr>
        <w:keepNext/>
        <w:spacing w:after="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উইং/শাখা:</w:t>
      </w:r>
      <w:r>
        <w:rPr>
          <w:rFonts w:ascii="Nikosh" w:cs="Nikosh" w:eastAsia="Nikosh" w:hAnsi="Nikosh"/>
          <w:sz w:val="26"/>
          <w:szCs w:val="26"/>
        </w:rPr>
        <w:t xml:space="preserve"> [ ]</w:t>
      </w:r>
    </w:p>
    <w:p>
      <w:pPr>
        <w:keepNext/>
        <w:spacing w:after="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নথি নং:</w:t>
      </w:r>
      <w:r>
        <w:rPr>
          <w:rFonts w:ascii="Nikosh" w:cs="Nikosh" w:eastAsia="Nikosh" w:hAnsi="Nikosh"/>
          <w:sz w:val="26"/>
          <w:szCs w:val="26"/>
        </w:rPr>
        <w:t xml:space="preserve"> [ ]</w:t>
      </w:r>
    </w:p>
    <w:p>
      <w:pPr>
        <w:keepNext w:val="false"/>
        <w:spacing w:after="1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তারিখ:</w:t>
      </w:r>
      <w:r>
        <w:rPr>
          <w:rFonts w:ascii="Nikosh" w:cs="Nikosh" w:eastAsia="Nikosh" w:hAnsi="Nikosh"/>
          <w:sz w:val="26"/>
          <w:szCs w:val="26"/>
        </w:rPr>
        <w:t xml:space="preserve"> [ ]</w:t>
      </w:r>
    </w:p>
    <w:p>
      <w:pPr>
        <w:keepNext w:val="false"/>
        <w:spacing w:after="1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বিষয়: বিএসটিআই'র অটোমেশন সফটওয়্যার (e-Application Management System)-এর বর্তমান অবস্থা এবং Orange Business Development Ltd. কর্তৃক দাখিলকৃত "BSTI 2.0" প্রস্তাবনা পর্যালোচনার লক্ষ্যে সংশ্লিষ্ট উইং/শাখার ফোকাল পয়েন্টগণের সমন্বয়ে সভা আহ্বান প্রসঙ্গে।</w:t>
      </w:r>
      <w:r>
        <w:rPr>
          <w:rFonts w:ascii="Nikosh" w:cs="Nikosh" w:eastAsia="Nikosh" w:hAnsi="Nikosh"/>
          <w:sz w:val="26"/>
          <w:szCs w:val="26"/>
        </w:rPr>
        <w:t xml:space="preserve"/>
      </w:r>
    </w:p>
    <w:p>
      <w:pPr>
        <w:pBdr>
          <w:bottom w:val="single" w:color="000000" w:sz="6" w:space="1"/>
        </w:pBdr>
        <w:spacing w:after="200"/>
      </w:pPr>
    </w:p>
    <w:p>
      <w:pPr>
        <w:keepNext w:val="false"/>
        <w:spacing w:after="1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০১। পটভূমি।</w:t>
      </w:r>
      <w:r>
        <w:rPr>
          <w:rFonts w:ascii="Nikosh" w:cs="Nikosh" w:eastAsia="Nikosh" w:hAnsi="Nikosh"/>
          <w:sz w:val="26"/>
          <w:szCs w:val="26"/>
        </w:rPr>
        <w:t xml:space="preserve"> বিএসটিআই'র সেবাসমূহ বর্তমানে একাধিক পৃথক সফটওয়্যারের মাধ্যমে পরিচালিত হচ্ছে। এর মধ্যে রয়েছে: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সনদ/টেস্ট রিপোর্ট প্রস্তুতের QR কোড সফটওয়্যার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ওয়ান স্টপ সার্ভিসের বিলিং সফটওয়্যার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ইনভেন্টরি ব্যবস্থাপনা সফটওয়্যার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মান (স্ট্যান্ডার্ড) বিক্রয় সফটওয়্যার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হাজিরা ব্যবস্থাপনা (Alo Attendance)</w:t>
      </w:r>
    </w:p>
    <w:p>
      <w:pPr>
        <w:keepNext w:val="false"/>
        <w:spacing w:after="160" w:before="12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এসব সফটওয়্যারের মধ্যে কোনো সংযোগ নেই এবং সেবাগ্রহীতাগণ এগুলোতে সরাসরি যুক্ত নন। ফলে আবেদন গ্রহণ থেকে সনদ প্রদান পর্যন্ত অধিকাংশ কাজ এখনো হাতে-কলমে সম্পন্ন হয়। এ প্রেক্ষিতে একটি সমন্বিত ব্যবস্থার প্রয়োজনীয়তা দেখা দেয়, যেখানে: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সেবাগ্রহীতা ঘরে বসে আবেদন করবেন;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বিএসটিআই'র সংশ্লিষ্ট সকল উইং ও ডেস্কে আবেদনটি অনলাইনে প্রক্রিয়া হবে;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সেবাগ্রহীতা অনলাইনে সনদ সংগ্রহ করবেন;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একই সাথে মানবসম্পদ, বেতন, হিসাব, ইনভেন্টরি, হাজিরা ইত্যাদি অভ্যন্তরীণ কার্যক্রমও স্বয়ংক্রিয় হবে।</w:t>
      </w:r>
    </w:p>
    <w:p>
      <w:pPr>
        <w:keepNext w:val="false"/>
        <w:spacing w:after="160" w:before="12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০২। প্রথম পর্যায় (BSTI 1.0)।</w:t>
      </w:r>
      <w:r>
        <w:rPr>
          <w:rFonts w:ascii="Nikosh" w:cs="Nikosh" w:eastAsia="Nikosh" w:hAnsi="Nikosh"/>
          <w:sz w:val="26"/>
          <w:szCs w:val="26"/>
        </w:rPr>
        <w:t xml:space="preserve"> ২০২৪ সালে USAID-এর অর্থায়নে পরিচালিত Bangladesh Trade Facilitation (BTF) প্রকল্প বিএসটিআই'র অটোমেশন কার্যক্রমে সহায়তার প্রস্তাব দেয়। এর ধারাবাহিকতায়: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২৬/০৫/২০২৪ তারিখে বিএসটিআই'র সভাকক্ষে মহাপরিচালক মহোদয়ের সভাপতিত্বে একটি ত্রিপক্ষীয় সভা অনুষ্ঠিত হয়।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জুন ২০২৪-এ উইংভিত্তিক চাহিদা সংগ্রহ করা হয়।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আগস্ট–সেপ্টেম্বর ২০২৪-এ উইংভিত্তিক ভ্যালিডেশন ওয়ার্কশপ অনুষ্ঠিত হয়।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বিটিএফ সফটওয়্যার প্রতিষ্ঠান Orange Business Development Ltd. (OrangeBD)-কে নিয়োগ দেয়। চুক্তিটি বিটিএফ ও OrangeBD-এর মধ্যে, প্রায় ৯১ লক্ষ টাকায়; মেয়াদ ১২/০১/২০২৫ থেকে ৩১/০৭/২০২৬। বিএসটিআই এ চুক্তির পক্ষ ছিল না।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০২/০১/২০২৫ তারিখে বিএসটিআই'র সভাকক্ষে কিক-অফ সভা অনুষ্ঠিত হয়।</w:t>
      </w:r>
    </w:p>
    <w:p>
      <w:pPr>
        <w:keepNext w:val="false"/>
        <w:spacing w:after="160" w:before="12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০৩। বর্তমান অবস্থা।</w:t>
      </w:r>
      <w:r>
        <w:rPr>
          <w:rFonts w:ascii="Nikosh" w:cs="Nikosh" w:eastAsia="Nikosh" w:hAnsi="Nikosh"/>
          <w:sz w:val="26"/>
          <w:szCs w:val="26"/>
        </w:rPr>
        <w:t xml:space="preserve"> প্রথম পর্যায়ে নিম্নোক্ত ৫টি সেবা চালু হয়েছে: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সিএম লাইসেন্স (শুধু নতুন নিবন্ধন)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মানবসম্পদ (HR)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বেতন (Payroll)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পিসিআর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মান বিক্রয়</w:t>
      </w:r>
    </w:p>
    <w:p>
      <w:pPr>
        <w:keepNext w:val="false"/>
        <w:spacing w:after="160" w:before="12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২৩টি অফিস সিস্টেমে যুক্ত আছে, তবে প্রধান কার্যালয়ের অর্গানোগ্রামের অধীনে। সিস্টেমটি বাংলাদেশ কম্পিউটার কাউন্সিল (BCC)-এর সার্ভারে হোস্ট করা। সোর্স কোড OrangeBD-এর নিকট সংরক্ষিত।</w:t>
      </w:r>
    </w:p>
    <w:p>
      <w:pPr>
        <w:keepNext w:val="false"/>
        <w:spacing w:after="1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তাড়াহুড়ো করে চালু করায় প্রথম পর্যায়ে কিছু মৌলিক সীমাবদ্ধতা রয়ে গেছে: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(ক) সিএম আবেদনের নমুনা পরীক্ষার প্রতিবেদন রসায়ন/পদার্থ পরীক্ষণ উইং হাতে-কলমে প্রস্তুত করে সিস্টেমে আপলোড করে; ল্যাবরেটরি কার্যক্রম সিস্টেমের অংশ নয়।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(খ) বিভাগীয় ও আঞ্চলিক কার্যালয়ের নিজস্ব কর্মপ্রবাহ (workflow) এখনো চালু হয়নি।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(গ) সেবাগ্রহীতা ও কর্মকর্তাদের জন্য পৃথক পৃথক ওয়েবসাইট ও লগইন রয়েছে।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(ঘ) অনলাইনে মান ক্রয় এবং সিএম আবেদনের মধ্যে কোনো সংযোগ নেই।</w:t>
      </w:r>
    </w:p>
    <w:p>
      <w:pPr>
        <w:keepNext w:val="false"/>
        <w:spacing w:after="160" w:before="12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০৪। বিটিএফ প্রকল্প সমাপ্তির পরবর্তী অবস্থা।</w:t>
      </w:r>
      <w:r>
        <w:rPr>
          <w:rFonts w:ascii="Nikosh" w:cs="Nikosh" w:eastAsia="Nikosh" w:hAnsi="Nikosh"/>
          <w:sz w:val="26"/>
          <w:szCs w:val="26"/>
        </w:rPr>
        <w:t xml:space="preserve"> বিটিএফ প্রকল্পের কার্যক্রম সমাপ্ত হয়েছে। ০১/০৮/২০২৬ থেকে বিএসটিআই ও OrangeBD-এর মধ্যে কোনো চুক্তি নেই। তবুও OrangeBD চালু সেবাগুলোর কারিগরি সহায়তা অব্যাহত রেখেছে।</w:t>
      </w:r>
    </w:p>
    <w:p>
      <w:pPr>
        <w:keepNext w:val="false"/>
        <w:spacing w:after="1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তবে চুক্তি না থাকায় নিম্নোক্ত বিষয়গুলো এখনো নির্ধারিত হয়নি: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সেবার মান ও সাড়া দেওয়ার সময় (SLA)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তথ্য (data) ও সোর্স কোডের মালিকানা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ব্যাকআপ ব্যবস্থা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ভবিষ্যৎ হস্তান্তর পদ্ধতি</w:t>
      </w:r>
    </w:p>
    <w:p>
      <w:pPr>
        <w:keepNext w:val="false"/>
        <w:spacing w:after="160" w:before="12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উল্লেখ্য, কর্মকর্তা-কর্মচারীদের বেতন (Payroll) এই সিস্টেমের মাধ্যমে প্রক্রিয়া হচ্ছে। তাই বিষয়টি জরুরি ভিত্তিতে নিষ্পত্তি হওয়া প্রয়োজন।</w:t>
      </w:r>
    </w:p>
    <w:p>
      <w:pPr>
        <w:keepNext w:val="false"/>
        <w:spacing w:after="1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০৫। OrangeBD-এর প্রস্তাবনা (BSTI 2.0)।</w:t>
      </w:r>
      <w:r>
        <w:rPr>
          <w:rFonts w:ascii="Nikosh" w:cs="Nikosh" w:eastAsia="Nikosh" w:hAnsi="Nikosh"/>
          <w:sz w:val="26"/>
          <w:szCs w:val="26"/>
        </w:rPr>
        <w:t xml:space="preserve"> বিএসটিআই প্রশাসনের নির্দেশনায় OrangeBD সকল উইং থেকে চাহিদা সংগ্রহ করে ৩০৩ পৃষ্ঠার একটি System Requirements Specification (SRS) প্রস্তুত করেছে। এর ভিত্তিতে ২১/০৯/২০২৬ তারিখের পত্রে প্রতিষ্ঠানটি ৩৩টি সেবা পর্যায়ক্রমে চালু ও রক্ষণাবেক্ষণের আর্থিক প্রস্তাব দাখিল করেছে। ৩৩টি সেবার মধ্যে রয়েছে: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মানবসম্পদ, বেতন, হিসাব ও মামলা ব্যবস্থাপনা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সিএম (বাধ্যতামূলক, স্কোপ, হালাল)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রসায়ন ও পদার্থ পরীক্ষণ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এমএসসি, পিসিআর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মেট্রোলজির লাইসেন্স ও ক্যালিব্রেশন সেবাসমূহ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মোবাইল কোর্ট ও সার্ভেইল্যান্স</w:t>
      </w:r>
    </w:p>
    <w:p>
      <w:pPr>
        <w:keepNext w:val="false"/>
        <w:spacing w:after="160" w:before="12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প্রস্তাবের মূল বিষয়গুলো নিম্নরূপ (মূল্য ভ্যাট ও কর ব্যতীত):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7"/>
        <w:gridCol w:w="3320"/>
        <w:gridCol w:w="2179"/>
      </w:tblGrid>
      <w:tr>
        <w:trPr>
          <w:tblHeader/>
        </w:trPr>
        <w:tc>
          <w:tcPr>
            <w:tcW w:type="dxa" w:w="3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Nikosh" w:cs="Nikosh" w:eastAsia="Nikosh" w:hAnsi="Nikosh"/>
                <w:b/>
                <w:bCs/>
                <w:sz w:val="26"/>
                <w:szCs w:val="26"/>
              </w:rPr>
              <w:t xml:space="preserve">খাত</w:t>
            </w:r>
          </w:p>
        </w:tc>
        <w:tc>
          <w:tcPr>
            <w:tcW w:type="dxa" w:w="3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Nikosh" w:cs="Nikosh" w:eastAsia="Nikosh" w:hAnsi="Nikosh"/>
                <w:b/>
                <w:bCs/>
                <w:sz w:val="26"/>
                <w:szCs w:val="26"/>
              </w:rPr>
              <w:t xml:space="preserve">সময়কাল</w:t>
            </w:r>
          </w:p>
        </w:tc>
        <w:tc>
          <w:tcPr>
            <w:tcW w:type="dxa" w:w="2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Nikosh" w:cs="Nikosh" w:eastAsia="Nikosh" w:hAnsi="Nikosh"/>
                <w:b/>
                <w:bCs/>
                <w:sz w:val="26"/>
                <w:szCs w:val="26"/>
              </w:rPr>
              <w:t xml:space="preserve">অংকের পরিমাণ (টাকা)</w:t>
            </w:r>
          </w:p>
        </w:tc>
      </w:tr>
      <w:tr>
        <w:trPr>
          <w:tblHeader w:val="off"/>
        </w:trPr>
        <w:tc>
          <w:tcPr>
            <w:tcW w:type="dxa" w:w="3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পর্যায়ক্রমে সেবা চালু (Rollout)</w:t>
            </w:r>
          </w:p>
        </w:tc>
        <w:tc>
          <w:tcPr>
            <w:tcW w:type="dxa" w:w="3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আগস্ট ২০২৬ – ডিসেম্বর ২০২৯</w:t>
            </w:r>
          </w:p>
        </w:tc>
        <w:tc>
          <w:tcPr>
            <w:tcW w:type="dxa" w:w="2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১১,১৬,৬৫,০০০</w:t>
            </w:r>
          </w:p>
        </w:tc>
      </w:tr>
      <w:tr>
        <w:trPr>
          <w:tblHeader w:val="off"/>
        </w:trPr>
        <w:tc>
          <w:tcPr>
            <w:tcW w:type="dxa" w:w="3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রক্ষণাবেক্ষণ (৩৩টি সেবা)</w:t>
            </w:r>
          </w:p>
        </w:tc>
        <w:tc>
          <w:tcPr>
            <w:tcW w:type="dxa" w:w="3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জানুয়ারি ২০৩০ – ডিসেম্বর ২০৩১</w:t>
            </w:r>
          </w:p>
        </w:tc>
        <w:tc>
          <w:tcPr>
            <w:tcW w:type="dxa" w:w="2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৭,৫২,৪০,০০০</w:t>
            </w:r>
          </w:p>
        </w:tc>
      </w:tr>
      <w:tr>
        <w:trPr>
          <w:tblHeader w:val="off"/>
        </w:trPr>
        <w:tc>
          <w:tcPr>
            <w:tcW w:type="dxa" w:w="3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/>
            </w:r>
            <w:r>
              <w:rPr>
                <w:rFonts w:ascii="Nikosh" w:cs="Nikosh" w:eastAsia="Nikosh" w:hAnsi="Nikosh"/>
                <w:b/>
                <w:bCs/>
                <w:sz w:val="26"/>
                <w:szCs w:val="26"/>
              </w:rPr>
              <w:t xml:space="preserve">মোট</w:t>
            </w: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3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/>
            </w:r>
            <w:r>
              <w:rPr>
                <w:rFonts w:ascii="Nikosh" w:cs="Nikosh" w:eastAsia="Nikosh" w:hAnsi="Nikosh"/>
                <w:b/>
                <w:bCs/>
                <w:sz w:val="26"/>
                <w:szCs w:val="26"/>
              </w:rPr>
              <w:t xml:space="preserve">৫ বছর ৫ মাস</w:t>
            </w: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21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/>
            </w:r>
            <w:r>
              <w:rPr>
                <w:rFonts w:ascii="Nikosh" w:cs="Nikosh" w:eastAsia="Nikosh" w:hAnsi="Nikosh"/>
                <w:b/>
                <w:bCs/>
                <w:sz w:val="26"/>
                <w:szCs w:val="26"/>
              </w:rPr>
              <w:t xml:space="preserve">১৮,৬৯,০৫,০০০</w:t>
            </w: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মূল্য নির্ধারণ পদ্ধতি:</w:t>
      </w:r>
      <w:r>
        <w:rPr>
          <w:rFonts w:ascii="Nikosh" w:cs="Nikosh" w:eastAsia="Nikosh" w:hAnsi="Nikosh"/>
          <w:sz w:val="26"/>
          <w:szCs w:val="26"/>
        </w:rPr>
        <w:t xml:space="preserve"> যতগুলো সেবা চালু থাকবে, প্রতি সেবার জন্য মাসিক হারে অর্থ পরিশোধ করতে হবে। প্রতি সেবার মাসিক হার: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২০২৬ সালের অবশিষ্ট সময়ে ৬৫,০০০ টাকা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২০২৭ সালে ১,৮০,০০০ টাকা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২০২৮ সালে ১,৫৫,০০০ টাকা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২০২৯ সালে ১,৩০,০০০ টাকা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রক্ষণাবেক্ষণকালে ৯৫,০০০ টাকা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বছরভিত্তিক সম্ভাব্য ব্যয়:</w:t>
      </w:r>
      <w:r>
        <w:rPr>
          <w:rFonts w:ascii="Nikosh" w:cs="Nikosh" w:eastAsia="Nikosh" w:hAnsi="Nikosh"/>
          <w:sz w:val="26"/>
          <w:szCs w:val="26"/>
        </w:rPr>
        <w:t xml:space="preserve"/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২০২৬ সালে প্রায় ০.১৬ কোটি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২০২৭ সালে ২.০৫ কোটি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২০২৮ সালে ৪.০০ কোটি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২০২৯ সালে ৪.৯৫ কোটি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২০৩০ ও ২০৩১ সালে প্রতি বছর ৩.৭৬ কোটি টাকা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অর্থের উৎস ও ক্রয় বিধি:</w:t>
      </w:r>
      <w:r>
        <w:rPr>
          <w:rFonts w:ascii="Nikosh" w:cs="Nikosh" w:eastAsia="Nikosh" w:hAnsi="Nikosh"/>
          <w:sz w:val="26"/>
          <w:szCs w:val="26"/>
        </w:rPr>
        <w:t xml:space="preserve"> দাতা সংস্থার অর্থায়ন না থাকায় এ ব্যয় বিএসটিআই'র নিজস্ব রাজস্ব থেকে নির্বাহ করতে হবে। এ কারণে সরকারি ক্রয় আইন ও বিধিমালা (PPA/PPR) পুরোপুরি প্রযোজ্য হবে।</w:t>
      </w:r>
    </w:p>
    <w:p>
      <w:pPr>
        <w:keepNext w:val="false"/>
        <w:spacing w:after="160" w:before="12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০৬। প্রাথমিক পর্যালোচনা।</w:t>
      </w:r>
      <w:r>
        <w:rPr>
          <w:rFonts w:ascii="Nikosh" w:cs="Nikosh" w:eastAsia="Nikosh" w:hAnsi="Nikosh"/>
          <w:sz w:val="26"/>
          <w:szCs w:val="26"/>
        </w:rPr>
        <w:t xml:space="preserve"> প্রস্তাবনা ও SRS প্রাথমিকভাবে পর্যালোচনা করা হয়েছে।</w:t>
      </w:r>
    </w:p>
    <w:p>
      <w:pPr>
        <w:keepNext w:val="false"/>
        <w:spacing w:after="1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ইতিবাচক দিক: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SRS-এ প্রায় সকল উইংয়ের সেবা অন্তর্ভুক্ত হয়েছে।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অর্থ পরিশোধ চালু সেবার সংখ্যার সাথে সম্পর্কিত।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সার্ভার সরকারি অবকাঠামোতে (BCC) রয়েছে।</w:t>
      </w:r>
    </w:p>
    <w:p>
      <w:pPr>
        <w:keepNext w:val="false"/>
        <w:spacing w:after="160" w:before="12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তবে চূড়ান্ত সিদ্ধান্তের পূর্বে নিম্নোক্ত বিষয়গুলো সংশ্লিষ্ট সকলের মতামতের ভিত্তিতে নিষ্পত্তি হওয়া প্রয়োজন: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(ক) চুক্তির শর্তাবলি।</w:t>
      </w:r>
      <w:r>
        <w:rPr>
          <w:rFonts w:ascii="Nikosh" w:cs="Nikosh" w:eastAsia="Nikosh" w:hAnsi="Nikosh"/>
          <w:sz w:val="26"/>
          <w:szCs w:val="26"/>
        </w:rPr>
        <w:t xml:space="preserve"> প্রস্তাবে নিম্নোক্ত বিষয়ে কোনো শর্ত নেই: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সোর্স কোড ও তথ্যের মালিকানা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কোনো সেবাকে কখন "চালু" গণ্য করা হবে (গ্রহণযোগ্যতা যাচাই)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সেবার মান (SLA) ও জরিমানা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পরিবর্তন অনুরোধের (change request) মূল্য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২০৩১ সালের পরবর্তী ব্যবস্থা ও হস্তান্তর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(খ) সেবার সংখ্যা।</w:t>
      </w:r>
      <w:r>
        <w:rPr>
          <w:rFonts w:ascii="Nikosh" w:cs="Nikosh" w:eastAsia="Nikosh" w:hAnsi="Nikosh"/>
          <w:sz w:val="26"/>
          <w:szCs w:val="26"/>
        </w:rPr>
        <w:t xml:space="preserve"> ৩৩টি সেবার মধ্যে প্রায় ১২টি একই সেবার নবায়ন বা ব্র্যান্ড অন্তর্ভুক্তি সংস্করণ। উদাহরণ: সিএম বাধ্যতামূলক নতুন/নবায়ন/ব্র্যান্ড অন্তর্ভুক্তি। SRS-এ এগুলোর বর্ণনা ৯০–৯৮% অভিন্ন, অথচ প্রতিটির জন্য পূর্ণ সেবার হারে মূল্য ধরা হয়েছে। বাস্তবে স্বতন্ত্র কর্মপ্রবাহের সংখ্যা প্রায় ২১টি।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(গ) প্রথম পর্যায়ের ঘাটতির পুনরাবৃত্তি।</w:t>
      </w:r>
      <w:r>
        <w:rPr>
          <w:rFonts w:ascii="Nikosh" w:cs="Nikosh" w:eastAsia="Nikosh" w:hAnsi="Nikosh"/>
          <w:sz w:val="26"/>
          <w:szCs w:val="26"/>
        </w:rPr>
        <w:t xml:space="preserve"/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SRS-এ সিএম বাধ্যতামূলক সেবার সাথে ল্যাবরেটরি পরীক্ষার সংযোগ বর্ণিত হয়নি।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বিভাগীয়/আঞ্চলিক কার্যালয়ের কর্মপ্রবাহ খুবই সংক্ষিপ্তভাবে উল্লেখ আছে।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২০২৫ সালে এমএসসি উইং কর্তৃক উত্থাপিত সনদ স্থগিত/বাতিল ও সার্ভেইল্যান্স অডিট এবং মেট্রোলজির আমদানি ছাড়পত্র বিষয়ক চাহিদা এখনো অন্তর্ভুক্ত হয়নি।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(ঘ) পরিধির বাইরে থাকা বিষয়।</w:t>
      </w:r>
      <w:r>
        <w:rPr>
          <w:rFonts w:ascii="Nikosh" w:cs="Nikosh" w:eastAsia="Nikosh" w:hAnsi="Nikosh"/>
          <w:sz w:val="26"/>
          <w:szCs w:val="26"/>
        </w:rPr>
        <w:t xml:space="preserve"> নিম্নোক্ত বিষয়গুলো ৩৩টি সেবার মধ্যে নেই: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ইনভেন্টরি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হাজিরা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মান প্রণয়ন কার্যক্রম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জাতীয় পরিচয়পত্র (NID) যাচাই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বিদ্যমান সফটওয়্যার থেকে তথ্য স্থানান্তর (data migration)</w:t>
      </w:r>
    </w:p>
    <w:p>
      <w:pPr>
        <w:spacing w:after="120" w:before="0" w:line="300"/>
        <w:ind w:left="72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এছাড়া ক্রমিক ২২ ও ২৩-এর সেবা পরিবর্তন করে মেট্রোলজি ডিলার লাইসেন্স ও মান বিক্রয় অন্তর্ভুক্ত করার কথা বলা হয়েছে, কিন্তু SRS-এ এ দুটির কোনো বর্ণনা নেই।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(ঙ) অন্যান্য সরকারি প্রকল্পের সাথে তুলনা।</w:t>
      </w:r>
      <w:r>
        <w:rPr>
          <w:rFonts w:ascii="Nikosh" w:cs="Nikosh" w:eastAsia="Nikosh" w:hAnsi="Nikosh"/>
          <w:sz w:val="26"/>
          <w:szCs w:val="26"/>
        </w:rPr>
        <w:t xml:space="preserve"> প্রস্তাবিত রক্ষণাবেক্ষণ ব্যয় মাসে ৩১.৩৫ লক্ষ টাকা। তুলনামূলক উদাহরণ: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প্রায় ১৯,০০০ সরকারি অফিসে ব্যবহৃত ডি-নথির রক্ষণাবেক্ষণ চুক্তি (২০২১–২৩, ই-জিপি'তে প্রকাশিত) মাসিক প্রায় ২২.৫৮ লক্ষ টাকা।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ভূমি মন্ত্রণালয়ের ই-নামজারির রক্ষণাবেক্ষণ চুক্তি মাসিক প্রায় ৩৪ লক্ষ টাকা।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বিসিক-এর ওয়ান স্টপ সার্ভিসে উন্নয়ন বা রক্ষণাবেক্ষণ বাবদ পৃথক ব্যয় নেই; প্রতি আবেদনে ১০০–২৩০ টাকা হারে ফি দেওয়া হয়।</w:t>
      </w:r>
    </w:p>
    <w:p>
      <w:pPr>
        <w:spacing w:after="120" w:before="0" w:line="300"/>
        <w:ind w:left="72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বিস্তারিত তুলনা সংযুক্তি-গ-তে দেওয়া হলো।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(চ) ক্রয় পদ্ধতি ও বাজেট।</w:t>
      </w:r>
      <w:r>
        <w:rPr>
          <w:rFonts w:ascii="Nikosh" w:cs="Nikosh" w:eastAsia="Nikosh" w:hAnsi="Nikosh"/>
          <w:sz w:val="26"/>
          <w:szCs w:val="26"/>
        </w:rPr>
        <w:t xml:space="preserve"> প্রায় ১৮.৬৯ কোটি টাকার বহুবছর মেয়াদি ব্যয়ের জন্য নিম্নোক্ত বিষয়গুলো নির্ধারণ করা প্রয়োজন: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পিপিআর অনুযায়ী উপযুক্ত ক্রয় পদ্ধতি ও অনুমোদন কর্তৃপক্ষ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প্রতি অর্থবছরের বাজেট বরাদ্দ</w:t>
      </w:r>
    </w:p>
    <w:p>
      <w:pPr>
        <w:keepNext w:val="false"/>
        <w:spacing w:after="160" w:before="12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০৭। সভার প্রস্তাবিত আলোচ্যসূচি।</w:t>
      </w:r>
      <w:r>
        <w:rPr>
          <w:rFonts w:ascii="Nikosh" w:cs="Nikosh" w:eastAsia="Nikosh" w:hAnsi="Nikosh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(ক) সংশ্লিষ্ট উইংয়ের কর্মপ্রক্রিয়া SRS-এ সঠিক ও পূর্ণাঙ্গভাবে প্রতিফলিত হয়েছে কিনা, এবং ঘাটতিসমূহ কী। প্রত্যেক ফোকাল পয়েন্ট লিখিত মতামত দেবেন।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(খ) চালু ৫টি সেবা নিরবচ্ছিন্ন রাখতে OrangeBD-এর সাথে একটি অন্তর্বর্তীকালীন রক্ষণাবেক্ষণ চুক্তি। এতে সোর্স কোড ও তথ্যের মালিকানা, ব্যাকআপ, BCC সার্ভারে বিএসটিআই'র প্রবেশাধিকার এবং SLA অন্তর্ভুক্ত থাকবে।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(গ) BSTI 2.0 প্রস্তাবনা বিষয়ে সুপারিশ: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হুবহু গ্রহণ;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সংশোধনসহ গ্রহণ (যেমন: একই ধরনের সেবাগুলো একত্রে গণনা করা, ধাপে ধাপে গ্রহণযোগ্যতা যাচাইয়ের ভিত্তিতে অর্থ পরিশোধ, প্রয়োজনীয় শর্ত সংযোজন); অথবা</w:t>
      </w:r>
    </w:p>
    <w:p>
      <w:pPr>
        <w:pStyle w:val="ListParagraph"/>
        <w:numPr>
          <w:ilvl w:val="1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বিকল্প পদ্ধতি (যেমন: আবেদনপ্রতি ফি-ভিত্তিক মডেল)।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(ঘ) অর্থের উৎস, বাজেট সংস্থান ও ক্রয় পদ্ধতি।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(ঙ) পরবর্তী কার্যক্রমের জন্য একটি কারিগরি/মূল্যায়ন কমিটি গঠন এবং সময়সূচি নির্ধারণ।</w:t>
      </w:r>
    </w:p>
    <w:p>
      <w:pPr>
        <w:keepNext w:val="false"/>
        <w:spacing w:after="160" w:before="12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০৮। প্রস্তাব।</w:t>
      </w:r>
      <w:r>
        <w:rPr>
          <w:rFonts w:ascii="Nikosh" w:cs="Nikosh" w:eastAsia="Nikosh" w:hAnsi="Nikosh"/>
          <w:sz w:val="26"/>
          <w:szCs w:val="26"/>
        </w:rPr>
        <w:t xml:space="preserve"> উপর্যুক্ত বিষয়ে সিদ্ধান্ত গ্রহণের লক্ষ্যে একটি সভা আহ্বান করা যেতে পারে: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সময় ও স্থান:</w:t>
      </w:r>
      <w:r>
        <w:rPr>
          <w:rFonts w:ascii="Nikosh" w:cs="Nikosh" w:eastAsia="Nikosh" w:hAnsi="Nikosh"/>
          <w:sz w:val="26"/>
          <w:szCs w:val="26"/>
        </w:rPr>
        <w:t xml:space="preserve"> [তারিখ], [সময়], [স্থান] (বিএসটিআই'র সভাকক্ষ)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সভাপতি:</w:t>
      </w:r>
      <w:r>
        <w:rPr>
          <w:rFonts w:ascii="Nikosh" w:cs="Nikosh" w:eastAsia="Nikosh" w:hAnsi="Nikosh"/>
          <w:sz w:val="26"/>
          <w:szCs w:val="26"/>
        </w:rPr>
        <w:t xml:space="preserve"> [মহাপরিচালক মহোদয় / পরিচালক (প্রশাসন)]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অংশগ্রহণকারী:</w:t>
      </w:r>
      <w:r>
        <w:rPr>
          <w:rFonts w:ascii="Nikosh" w:cs="Nikosh" w:eastAsia="Nikosh" w:hAnsi="Nikosh"/>
          <w:sz w:val="26"/>
          <w:szCs w:val="26"/>
        </w:rPr>
        <w:t xml:space="preserve"> পরিচালক (প্রশাসন), উপপরিচালক (প্রশাসন-১) এবং সংশ্লিষ্ট উইং/শাখার ১১ জন ফোকাল পয়েন্ট (তালিকা সংযুক্তি-ঘ)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প্রস্তুতি:</w:t>
      </w:r>
      <w:r>
        <w:rPr>
          <w:rFonts w:ascii="Nikosh" w:cs="Nikosh" w:eastAsia="Nikosh" w:hAnsi="Nikosh"/>
          <w:sz w:val="26"/>
          <w:szCs w:val="26"/>
        </w:rPr>
        <w:t xml:space="preserve"> সভার পূর্বে প্রত্যেক ফোকাল পয়েন্ট SRS-এর নিজ উইং সংশ্লিষ্ট অংশ পর্যালোচনা করে লিখিত মতামতসহ সভায় উপস্থিত থাকবেন।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OrangeBD-এর উপস্থিতি:</w:t>
      </w:r>
      <w:r>
        <w:rPr>
          <w:rFonts w:ascii="Nikosh" w:cs="Nikosh" w:eastAsia="Nikosh" w:hAnsi="Nikosh"/>
          <w:sz w:val="26"/>
          <w:szCs w:val="26"/>
        </w:rPr>
        <w:t xml:space="preserve"> প্রয়োজনে পরবর্তী পর্যায়ে OrangeBD-এর প্রতিনিধিকে আমন্ত্রণ জানানো যেতে পারে। তবে প্রথম সভায় বিএসটিআই'র অভ্যন্তরীণ মতামত নির্ধারণ করাই উদ্দেশ্য।</w:t>
      </w:r>
    </w:p>
    <w:p>
      <w:pPr>
        <w:keepNext w:val="false"/>
        <w:spacing w:after="160" w:before="12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এ লক্ষ্যে একটি অফিস স্মারকের খসড়া অনুমোদনের জন্য সংযুক্ত করা হলো।</w:t>
      </w:r>
    </w:p>
    <w:p>
      <w:pPr>
        <w:keepNext w:val="false"/>
        <w:spacing w:after="1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০৯।</w:t>
      </w:r>
      <w:r>
        <w:rPr>
          <w:rFonts w:ascii="Nikosh" w:cs="Nikosh" w:eastAsia="Nikosh" w:hAnsi="Nikosh"/>
          <w:sz w:val="26"/>
          <w:szCs w:val="26"/>
        </w:rPr>
        <w:t xml:space="preserve"> বর্ণিত অবস্থায়, অনুচ্ছেদ-০৮ অনুযায়ী সভা আহ্বান এবং সংযুক্ত অফিস স্মারক জারির বিষয়ে সদয় অনুমোদনের জন্য নথি উপস্থাপন করা হলো।</w:t>
      </w:r>
    </w:p>
    <w:p>
      <w:pPr>
        <w:keepNext w:val="false"/>
        <w:spacing w:after="1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 </w:t>
      </w:r>
    </w:p>
    <w:p>
      <w:pPr>
        <w:keepNext/>
        <w:spacing w:after="0" w:before="0" w:line="300"/>
        <w:jc w:val="right"/>
      </w:pPr>
      <w:r>
        <w:rPr>
          <w:rFonts w:ascii="Nikosh" w:cs="Nikosh" w:eastAsia="Nikosh" w:hAnsi="Nikosh"/>
          <w:sz w:val="26"/>
          <w:szCs w:val="26"/>
        </w:rPr>
        <w:t xml:space="preserve">[স্বাক্ষর]</w:t>
      </w:r>
    </w:p>
    <w:p>
      <w:pPr>
        <w:keepNext/>
        <w:spacing w:after="0" w:before="0" w:line="300"/>
        <w:jc w:val="right"/>
      </w:pPr>
      <w:r>
        <w:rPr>
          <w:rFonts w:ascii="Nikosh" w:cs="Nikosh" w:eastAsia="Nikosh" w:hAnsi="Nikosh"/>
          <w:sz w:val="26"/>
          <w:szCs w:val="26"/>
        </w:rPr>
        <w:t xml:space="preserve">[নাম]</w:t>
      </w:r>
    </w:p>
    <w:p>
      <w:pPr>
        <w:keepNext w:val="false"/>
        <w:spacing w:after="160" w:before="0" w:line="300"/>
        <w:jc w:val="right"/>
      </w:pPr>
      <w:r>
        <w:rPr>
          <w:rFonts w:ascii="Nikosh" w:cs="Nikosh" w:eastAsia="Nikosh" w:hAnsi="Nikosh"/>
          <w:sz w:val="26"/>
          <w:szCs w:val="26"/>
        </w:rPr>
        <w:t xml:space="preserve">[পদবি]</w:t>
      </w:r>
    </w:p>
    <w:p>
      <w:r>
        <w:br w:type="page"/>
      </w:r>
    </w:p>
    <w:p>
      <w:pPr>
        <w:pStyle w:val="Heading1"/>
        <w:keepNext/>
        <w:spacing w:after="200" w:before="0" w:line="300"/>
        <w:jc w:val="left"/>
      </w:pPr>
      <w:r>
        <w:rPr>
          <w:rFonts w:ascii="Nikosh" w:cs="Nikosh" w:eastAsia="Nikosh" w:hAnsi="Nikosh"/>
          <w:b/>
          <w:bCs/>
          <w:sz w:val="28"/>
          <w:szCs w:val="28"/>
        </w:rPr>
        <w:t xml:space="preserve">সংযুক্তি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ক।</w:t>
      </w:r>
      <w:r>
        <w:rPr>
          <w:rFonts w:ascii="Nikosh" w:cs="Nikosh" w:eastAsia="Nikosh" w:hAnsi="Nikosh"/>
          <w:sz w:val="26"/>
          <w:szCs w:val="26"/>
        </w:rPr>
        <w:t xml:space="preserve"> OrangeBD-এর ২১/০৯/২০২৬ তারিখের পত্র ও আর্থিক প্রস্তাবনা (Financial Proposal V4)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খ।</w:t>
      </w:r>
      <w:r>
        <w:rPr>
          <w:rFonts w:ascii="Nikosh" w:cs="Nikosh" w:eastAsia="Nikosh" w:hAnsi="Nikosh"/>
          <w:sz w:val="26"/>
          <w:szCs w:val="26"/>
        </w:rPr>
        <w:t xml:space="preserve"> BSTI 2.0 System Requirements Specification (SRS), ৩০৩ পৃষ্ঠা (ইলেকট্রনিক কপি)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গ।</w:t>
      </w:r>
      <w:r>
        <w:rPr>
          <w:rFonts w:ascii="Nikosh" w:cs="Nikosh" w:eastAsia="Nikosh" w:hAnsi="Nikosh"/>
          <w:sz w:val="26"/>
          <w:szCs w:val="26"/>
        </w:rPr>
        <w:t xml:space="preserve"> অন্যান্য সরকারি প্রকল্পের সাথে তুলনামূলক বিবরণী (নিচে)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ঘ।</w:t>
      </w:r>
      <w:r>
        <w:rPr>
          <w:rFonts w:ascii="Nikosh" w:cs="Nikosh" w:eastAsia="Nikosh" w:hAnsi="Nikosh"/>
          <w:sz w:val="26"/>
          <w:szCs w:val="26"/>
        </w:rPr>
        <w:t xml:space="preserve"> ফোকাল পয়েন্টগণের তালিকা (নিচে)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ঙ।</w:t>
      </w:r>
      <w:r>
        <w:rPr>
          <w:rFonts w:ascii="Nikosh" w:cs="Nikosh" w:eastAsia="Nikosh" w:hAnsi="Nikosh"/>
          <w:sz w:val="26"/>
          <w:szCs w:val="26"/>
        </w:rPr>
        <w:t xml:space="preserve"> অফিস স্মারকের খসড়া (নিচে)</w:t>
      </w:r>
    </w:p>
    <w:p>
      <w:pPr>
        <w:pStyle w:val="Heading2"/>
        <w:keepNext/>
        <w:spacing w:after="200" w:before="0" w:line="300"/>
        <w:jc w:val="left"/>
      </w:pPr>
      <w:r>
        <w:rPr>
          <w:rFonts w:ascii="Nikosh" w:cs="Nikosh" w:eastAsia="Nikosh" w:hAnsi="Nikosh"/>
          <w:b/>
          <w:bCs/>
          <w:sz w:val="28"/>
          <w:szCs w:val="28"/>
        </w:rPr>
        <w:t xml:space="preserve">সংযুক্তি-গ: রক্ষণাবেক্ষণ ব্যয়ের তুলনা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9"/>
        <w:gridCol w:w="2767"/>
        <w:gridCol w:w="1950"/>
      </w:tblGrid>
      <w:tr>
        <w:trPr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Nikosh" w:cs="Nikosh" w:eastAsia="Nikosh" w:hAnsi="Nikosh"/>
                <w:b/>
                <w:bCs/>
                <w:sz w:val="26"/>
                <w:szCs w:val="26"/>
              </w:rPr>
              <w:t xml:space="preserve">সিস্টেম</w:t>
            </w:r>
          </w:p>
        </w:tc>
        <w:tc>
          <w:tcPr>
            <w:tcW w:type="dxa" w:w="2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Nikosh" w:cs="Nikosh" w:eastAsia="Nikosh" w:hAnsi="Nikosh"/>
                <w:b/>
                <w:bCs/>
                <w:sz w:val="26"/>
                <w:szCs w:val="26"/>
              </w:rPr>
              <w:t xml:space="preserve">ব্যবহারের পরিধি</w:t>
            </w:r>
          </w:p>
        </w:tc>
        <w:tc>
          <w:tcPr>
            <w:tcW w:type="dxa" w:w="2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Nikosh" w:cs="Nikosh" w:eastAsia="Nikosh" w:hAnsi="Nikosh"/>
                <w:b/>
                <w:bCs/>
                <w:sz w:val="26"/>
                <w:szCs w:val="26"/>
              </w:rPr>
              <w:t xml:space="preserve">মাসিক রক্ষণাবেক্ষণ ব্যয়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Nikosh" w:cs="Nikosh" w:eastAsia="Nikosh" w:hAnsi="Nikosh"/>
                <w:b/>
                <w:bCs/>
                <w:sz w:val="26"/>
                <w:szCs w:val="26"/>
              </w:rPr>
              <w:t xml:space="preserve">উৎস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ডি-নথি (এটুআই)</w:t>
            </w:r>
          </w:p>
        </w:tc>
        <w:tc>
          <w:tcPr>
            <w:tcW w:type="dxa" w:w="2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প্রায় ১৯,০০০ সরকারি অফিস</w:t>
            </w:r>
          </w:p>
        </w:tc>
        <w:tc>
          <w:tcPr>
            <w:tcW w:type="dxa" w:w="2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প্রায় ২২.৫৮ লক্ষ টাকা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ই-জিপি চুক্তি (২০২১–২৩)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ই-নামজারি (ভূমি মন্ত্রণালয়)</w:t>
            </w:r>
          </w:p>
        </w:tc>
        <w:tc>
          <w:tcPr>
            <w:tcW w:type="dxa" w:w="2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সারাদেশের ভূমি অফিস</w:t>
            </w:r>
          </w:p>
        </w:tc>
        <w:tc>
          <w:tcPr>
            <w:tcW w:type="dxa" w:w="2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প্রায় ৩৪.৩৩ লক্ষ টাকা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ই-জিপি চুক্তি (২০২১)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মাইগভ (myGov)</w:t>
            </w:r>
          </w:p>
        </w:tc>
        <w:tc>
          <w:tcPr>
            <w:tcW w:type="dxa" w:w="2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জাতীয় সেবা প্ল্যাটফর্ম</w:t>
            </w:r>
          </w:p>
        </w:tc>
        <w:tc>
          <w:tcPr>
            <w:tcW w:type="dxa" w:w="2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২৩.৭৬ লক্ষ টাকা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OrangeBD-এর উপস্থাপনা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বিসিক ওয়ান স্টপ সার্ভিস</w:t>
            </w:r>
          </w:p>
        </w:tc>
        <w:tc>
          <w:tcPr>
            <w:tcW w:type="dxa" w:w="2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একটি করপোরেশন, বছরে প্রায় ২০,০০০ আবেদন</w:t>
            </w:r>
          </w:p>
        </w:tc>
        <w:tc>
          <w:tcPr>
            <w:tcW w:type="dxa" w:w="2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আবেদনপ্রতি ১০০–২৩০ টাকা (মাসে প্রায় ১.৭–৩.৮ লক্ষ টাকা)</w:t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সংশ্লিষ্ট দপ্তর</w:t>
            </w:r>
          </w:p>
        </w:tc>
      </w:tr>
      <w:tr>
        <w:trPr>
          <w:tblHeader w:val="off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/>
            </w:r>
            <w:r>
              <w:rPr>
                <w:rFonts w:ascii="Nikosh" w:cs="Nikosh" w:eastAsia="Nikosh" w:hAnsi="Nikosh"/>
                <w:b/>
                <w:bCs/>
                <w:sz w:val="26"/>
                <w:szCs w:val="26"/>
              </w:rPr>
              <w:t xml:space="preserve">BSTI 2.0 (প্রস্তাবিত, ২০৩০–৩১)</w:t>
            </w: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2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/>
            </w:r>
            <w:r>
              <w:rPr>
                <w:rFonts w:ascii="Nikosh" w:cs="Nikosh" w:eastAsia="Nikosh" w:hAnsi="Nikosh"/>
                <w:b/>
                <w:bCs/>
                <w:sz w:val="26"/>
                <w:szCs w:val="26"/>
              </w:rPr>
              <w:t xml:space="preserve">একটি প্রতিষ্ঠান, ২৩টি অফিস</w:t>
            </w: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2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/>
            </w:r>
            <w:r>
              <w:rPr>
                <w:rFonts w:ascii="Nikosh" w:cs="Nikosh" w:eastAsia="Nikosh" w:hAnsi="Nikosh"/>
                <w:b/>
                <w:bCs/>
                <w:sz w:val="26"/>
                <w:szCs w:val="26"/>
              </w:rPr>
              <w:t xml:space="preserve">৩১.৩৫ লক্ষ টাকা</w:t>
            </w: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/>
            </w:r>
          </w:p>
        </w:tc>
        <w:tc>
          <w:tcPr>
            <w:tcW w:type="dxa" w:w="1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/>
            </w:r>
            <w:r>
              <w:rPr>
                <w:rFonts w:ascii="Nikosh" w:cs="Nikosh" w:eastAsia="Nikosh" w:hAnsi="Nikosh"/>
                <w:b/>
                <w:bCs/>
                <w:sz w:val="26"/>
                <w:szCs w:val="26"/>
              </w:rPr>
              <w:t xml:space="preserve">OrangeBD প্রস্তাবনা</w:t>
            </w: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spacing w:after="200" w:before="0" w:line="300"/>
        <w:jc w:val="left"/>
      </w:pPr>
      <w:r>
        <w:rPr>
          <w:rFonts w:ascii="Nikosh" w:cs="Nikosh" w:eastAsia="Nikosh" w:hAnsi="Nikosh"/>
          <w:b/>
          <w:bCs/>
          <w:sz w:val="28"/>
          <w:szCs w:val="28"/>
        </w:rPr>
        <w:t xml:space="preserve">সংযুক্তি-ঘ: ফোকাল পয়েন্টগণের তালিকা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3610"/>
        <w:gridCol w:w="3009"/>
      </w:tblGrid>
      <w:tr>
        <w:trPr>
          <w:tblHeader/>
        </w:trPr>
        <w:tc>
          <w:tcPr>
            <w:tcW w:type="dxa" w:w="24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Nikosh" w:cs="Nikosh" w:eastAsia="Nikosh" w:hAnsi="Nikosh"/>
                <w:b/>
                <w:bCs/>
                <w:sz w:val="26"/>
                <w:szCs w:val="26"/>
              </w:rPr>
              <w:t xml:space="preserve">ক্রমিক</w:t>
            </w:r>
          </w:p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Nikosh" w:cs="Nikosh" w:eastAsia="Nikosh" w:hAnsi="Nikosh"/>
                <w:b/>
                <w:bCs/>
                <w:sz w:val="26"/>
                <w:szCs w:val="26"/>
              </w:rPr>
              <w:t xml:space="preserve">নাম ও পদবি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Nikosh" w:cs="Nikosh" w:eastAsia="Nikosh" w:hAnsi="Nikosh"/>
                <w:b/>
                <w:bCs/>
                <w:sz w:val="26"/>
                <w:szCs w:val="26"/>
              </w:rPr>
              <w:t xml:space="preserve">উইং/শাখা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১</w:t>
            </w:r>
          </w:p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২</w:t>
            </w:r>
          </w:p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৩</w:t>
            </w:r>
          </w:p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৪</w:t>
            </w:r>
          </w:p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৫</w:t>
            </w:r>
          </w:p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৬</w:t>
            </w:r>
          </w:p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৭</w:t>
            </w:r>
          </w:p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৮</w:t>
            </w:r>
          </w:p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৯</w:t>
            </w:r>
          </w:p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১০</w:t>
            </w:r>
          </w:p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</w:tr>
      <w:tr>
        <w:trPr>
          <w:tblHeader w:val="off"/>
        </w:trPr>
        <w:tc>
          <w:tcPr>
            <w:tcW w:type="dxa" w:w="24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১১</w:t>
            </w:r>
          </w:p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Nikosh" w:cs="Nikosh" w:eastAsia="Nikosh" w:hAnsi="Nikosh"/>
                <w:b w:val="false"/>
                <w:bCs w:val="false"/>
                <w:sz w:val="26"/>
                <w:szCs w:val="26"/>
              </w:rPr>
              <w:t xml:space="preserve">[ ]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keepNext/>
        <w:spacing w:after="200" w:before="0" w:line="300"/>
        <w:jc w:val="left"/>
      </w:pPr>
      <w:r>
        <w:rPr>
          <w:rFonts w:ascii="Nikosh" w:cs="Nikosh" w:eastAsia="Nikosh" w:hAnsi="Nikosh"/>
          <w:b/>
          <w:bCs/>
          <w:sz w:val="28"/>
          <w:szCs w:val="28"/>
        </w:rPr>
        <w:t xml:space="preserve">সংযুক্তি-ঙ: অফিস স্মারকের খসড়া</w:t>
      </w:r>
    </w:p>
    <w:p>
      <w:pPr>
        <w:keepNext/>
        <w:spacing w:after="0" w:before="120" w:line="300"/>
        <w:jc w:val="center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বাংলাদেশ স্ট্যান্ডার্ডস অ্যান্ড টেস্টিং ইনস্টিটিউশন (বিএসটিআই)</w:t>
      </w:r>
      <w:r>
        <w:rPr>
          <w:rFonts w:ascii="Nikosh" w:cs="Nikosh" w:eastAsia="Nikosh" w:hAnsi="Nikosh"/>
          <w:sz w:val="26"/>
          <w:szCs w:val="26"/>
        </w:rPr>
        <w:t xml:space="preserve"/>
      </w:r>
    </w:p>
    <w:p>
      <w:pPr>
        <w:keepNext w:val="false"/>
        <w:spacing w:after="160" w:before="0" w:line="300"/>
        <w:jc w:val="center"/>
      </w:pPr>
      <w:r>
        <w:rPr>
          <w:rFonts w:ascii="Nikosh" w:cs="Nikosh" w:eastAsia="Nikosh" w:hAnsi="Nikosh"/>
          <w:sz w:val="26"/>
          <w:szCs w:val="26"/>
        </w:rPr>
        <w:t xml:space="preserve">১১৬-ক, তেজগাঁও শিল্প এলাকা, ঢাকা-১২০৮</w:t>
      </w:r>
    </w:p>
    <w:p>
      <w:pPr>
        <w:keepNext/>
        <w:spacing w:after="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স্মারক নং:</w:t>
      </w:r>
      <w:r>
        <w:rPr>
          <w:rFonts w:ascii="Nikosh" w:cs="Nikosh" w:eastAsia="Nikosh" w:hAnsi="Nikosh"/>
          <w:sz w:val="26"/>
          <w:szCs w:val="26"/>
        </w:rPr>
        <w:t xml:space="preserve"> [ ]</w:t>
      </w:r>
    </w:p>
    <w:p>
      <w:pPr>
        <w:keepNext w:val="false"/>
        <w:spacing w:after="1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তারিখ:</w:t>
      </w:r>
      <w:r>
        <w:rPr>
          <w:rFonts w:ascii="Nikosh" w:cs="Nikosh" w:eastAsia="Nikosh" w:hAnsi="Nikosh"/>
          <w:sz w:val="26"/>
          <w:szCs w:val="26"/>
        </w:rPr>
        <w:t xml:space="preserve"> [ ]</w:t>
      </w:r>
    </w:p>
    <w:p>
      <w:pPr>
        <w:keepNext w:val="false"/>
        <w:spacing w:after="160" w:before="0" w:line="300"/>
        <w:jc w:val="center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অফিস স্মারক</w:t>
      </w:r>
      <w:r>
        <w:rPr>
          <w:rFonts w:ascii="Nikosh" w:cs="Nikosh" w:eastAsia="Nikosh" w:hAnsi="Nikosh"/>
          <w:sz w:val="26"/>
          <w:szCs w:val="26"/>
        </w:rPr>
        <w:t xml:space="preserve"/>
      </w:r>
    </w:p>
    <w:p>
      <w:pPr>
        <w:keepNext w:val="false"/>
        <w:spacing w:after="1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বিষয়: বিএসটিআই'র অটোমেশন সফটওয়্যারের বর্তমান অবস্থা ও "BSTI 2.0" প্রস্তাবনা পর্যালোচনা বিষয়ক সভা।</w:t>
      </w:r>
      <w:r>
        <w:rPr>
          <w:rFonts w:ascii="Nikosh" w:cs="Nikosh" w:eastAsia="Nikosh" w:hAnsi="Nikosh"/>
          <w:sz w:val="26"/>
          <w:szCs w:val="26"/>
        </w:rPr>
        <w:t xml:space="preserve"/>
      </w:r>
    </w:p>
    <w:p>
      <w:pPr>
        <w:keepNext w:val="false"/>
        <w:spacing w:after="1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উপর্যুক্ত বিষয়ে আলোচনার জন্য আগামী [তারিখ], [বার], [সময়] ঘটিকায় বিএসটিআই'র [সভাকক্ষ]-এ [সভাপতির পদবি] মহোদয়ের সভাপতিত্বে একটি সভা অনুষ্ঠিত হবে।</w:t>
      </w:r>
    </w:p>
    <w:p>
      <w:pPr>
        <w:keepNext w:val="false"/>
        <w:spacing w:after="1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সভায় নিম্নবর্ণিত কর্মকর্তাগণকে যথাসময়ে উপস্থিত থাকার জন্য অনুরোধ করা হলো: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পরিচালক (প্রশাসন)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উপপরিচালক (প্রশাসন-১)</w:t>
      </w:r>
    </w:p>
    <w:p>
      <w:pPr>
        <w:pStyle w:val="ListParagraph"/>
        <w:numPr>
          <w:ilvl w:val="0"/>
          <w:numId w:val="2"/>
        </w:numPr>
        <w:spacing w:after="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সংযুক্ত তালিকাভুক্ত ফোকাল পয়েন্টগণ</w:t>
      </w:r>
    </w:p>
    <w:p>
      <w:pPr>
        <w:keepNext w:val="false"/>
        <w:spacing w:after="160" w:before="12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সভার পূর্বে ফোকাল পয়েন্টগণ সংযুক্ত SRS-এর নিজ উইং সংশ্লিষ্ট অংশ পর্যালোচনা করবেন। কর্মপ্রক্রিয়ার সাথে অসংগতি, ঘাটতি ও প্রয়োজনীয় সংশোধনী উল্লেখ করে লিখিত মতামতসহ সভায় উপস্থিত থাকবেন।</w:t>
      </w:r>
    </w:p>
    <w:p>
      <w:pPr>
        <w:keepNext w:val="false"/>
        <w:spacing w:after="1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আলোচ্যসূচি:</w:t>
      </w:r>
      <w:r>
        <w:rPr>
          <w:rFonts w:ascii="Nikosh" w:cs="Nikosh" w:eastAsia="Nikosh" w:hAnsi="Nikosh"/>
          <w:sz w:val="26"/>
          <w:szCs w:val="26"/>
        </w:rPr>
        <w:t xml:space="preserve"/>
      </w:r>
    </w:p>
    <w:p>
      <w:pPr>
        <w:keepNext/>
        <w:spacing w:after="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১. চালু সফটওয়্যারের বর্তমান অবস্থা ও অন্তর্বর্তীকালীন রক্ষণাবেক্ষণ ব্যবস্থা।</w:t>
      </w:r>
    </w:p>
    <w:p>
      <w:pPr>
        <w:keepNext/>
        <w:spacing w:after="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২. BSTI 2.0 SRS-এ উইংভিত্তিক চাহিদার প্রতিফলন।</w:t>
      </w:r>
    </w:p>
    <w:p>
      <w:pPr>
        <w:keepNext/>
        <w:spacing w:after="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৩. OrangeBD-এর আর্থিক প্রস্তাবনা গ্রহণ, সংশোধন বা বিকল্প পদ্ধতি বিষয়ে মতামত।</w:t>
      </w:r>
    </w:p>
    <w:p>
      <w:pPr>
        <w:keepNext/>
        <w:spacing w:after="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৪. অর্থের উৎস, ক্রয় পদ্ধতি ও পরবর্তী করণীয়।</w:t>
      </w:r>
    </w:p>
    <w:p>
      <w:pPr>
        <w:keepNext w:val="false"/>
        <w:spacing w:after="1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৫. বিবিধ।</w:t>
      </w:r>
    </w:p>
    <w:p>
      <w:pPr>
        <w:keepNext w:val="false"/>
        <w:spacing w:after="1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সংযুক্তি: বর্ণনামতে।</w:t>
      </w:r>
    </w:p>
    <w:p>
      <w:pPr>
        <w:keepNext/>
        <w:spacing w:after="0" w:before="0" w:line="300"/>
        <w:jc w:val="right"/>
      </w:pPr>
      <w:r>
        <w:rPr>
          <w:rFonts w:ascii="Nikosh" w:cs="Nikosh" w:eastAsia="Nikosh" w:hAnsi="Nikosh"/>
          <w:sz w:val="26"/>
          <w:szCs w:val="26"/>
        </w:rPr>
        <w:t xml:space="preserve">[স্বাক্ষর]</w:t>
      </w:r>
    </w:p>
    <w:p>
      <w:pPr>
        <w:keepNext/>
        <w:spacing w:after="0" w:before="0" w:line="300"/>
        <w:jc w:val="right"/>
      </w:pPr>
      <w:r>
        <w:rPr>
          <w:rFonts w:ascii="Nikosh" w:cs="Nikosh" w:eastAsia="Nikosh" w:hAnsi="Nikosh"/>
          <w:sz w:val="26"/>
          <w:szCs w:val="26"/>
        </w:rPr>
        <w:t xml:space="preserve">[নাম]</w:t>
      </w:r>
    </w:p>
    <w:p>
      <w:pPr>
        <w:keepNext w:val="false"/>
        <w:spacing w:after="160" w:before="0" w:line="300"/>
        <w:jc w:val="right"/>
      </w:pPr>
      <w:r>
        <w:rPr>
          <w:rFonts w:ascii="Nikosh" w:cs="Nikosh" w:eastAsia="Nikosh" w:hAnsi="Nikosh"/>
          <w:sz w:val="26"/>
          <w:szCs w:val="26"/>
        </w:rPr>
        <w:t xml:space="preserve">[পদবি]</w:t>
      </w:r>
    </w:p>
    <w:p>
      <w:pPr>
        <w:keepNext w:val="false"/>
        <w:spacing w:after="1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/>
      </w:r>
      <w:r>
        <w:rPr>
          <w:rFonts w:ascii="Nikosh" w:cs="Nikosh" w:eastAsia="Nikosh" w:hAnsi="Nikosh"/>
          <w:b/>
          <w:bCs/>
          <w:sz w:val="26"/>
          <w:szCs w:val="26"/>
        </w:rPr>
        <w:t xml:space="preserve">বিতরণ (জ্যেষ্ঠতার ক্রমানুসারে নয়):</w:t>
      </w:r>
      <w:r>
        <w:rPr>
          <w:rFonts w:ascii="Nikosh" w:cs="Nikosh" w:eastAsia="Nikosh" w:hAnsi="Nikosh"/>
          <w:sz w:val="26"/>
          <w:szCs w:val="26"/>
        </w:rPr>
        <w:t xml:space="preserve"/>
      </w:r>
    </w:p>
    <w:p>
      <w:pPr>
        <w:keepNext/>
        <w:spacing w:after="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১. পরিচালক (প্রশাসন), বিএসটিআই, ঢাকা।</w:t>
      </w:r>
    </w:p>
    <w:p>
      <w:pPr>
        <w:keepNext/>
        <w:spacing w:after="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২. উপপরিচালক (প্রশাসন-১), বিএসটিআই, ঢাকা।</w:t>
      </w:r>
    </w:p>
    <w:p>
      <w:pPr>
        <w:keepNext/>
        <w:spacing w:after="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৩–১৩. [ফোকাল পয়েন্টগণ]</w:t>
      </w:r>
    </w:p>
    <w:p>
      <w:pPr>
        <w:keepNext/>
        <w:spacing w:after="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১৪. মহাপরিচালক মহোদয়ের একান্ত সচিব (মহাপরিচালক মহোদয়ের সদয় অবগতির জন্য)।</w:t>
      </w:r>
    </w:p>
    <w:p>
      <w:pPr>
        <w:keepNext w:val="false"/>
        <w:spacing w:after="160" w:before="0" w:line="300"/>
        <w:jc w:val="both"/>
      </w:pPr>
      <w:r>
        <w:rPr>
          <w:rFonts w:ascii="Nikosh" w:cs="Nikosh" w:eastAsia="Nikosh" w:hAnsi="Nikosh"/>
          <w:sz w:val="26"/>
          <w:szCs w:val="26"/>
        </w:rPr>
        <w:t xml:space="preserve">১৫. অফিস কপি।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ikosh" w:cs="Nikosh" w:eastAsia="Nikosh" w:hAnsi="Nikosh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kosh" w:cs="Nikosh" w:eastAsia="Nikosh" w:hAnsi="Nikosh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Nikosh" w:cs="Nikosh" w:eastAsia="Nikosh" w:hAnsi="Nikosh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pPr>
      <w:outlineLvl w:val="0"/>
    </w:pPr>
    <w:rPr>
      <w:rFonts w:ascii="Nikosh" w:cs="Nikosh" w:eastAsia="Nikosh" w:hAnsi="Nikosh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outlineLvl w:val="1"/>
    </w:pPr>
    <w:rPr>
      <w:rFonts w:ascii="Nikosh" w:cs="Nikosh" w:eastAsia="Nikosh" w:hAnsi="Nikosh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2026-10-07T03:36:17.552Z</dcterms:created>
  <dcterms:modified xsi:type="dcterms:W3CDTF">2026-10-07T03:36:17.552Z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