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A03C" w14:textId="77777777" w:rsidR="00AB0CA5" w:rsidRPr="00AB0CA5" w:rsidRDefault="00AB0CA5" w:rsidP="00AB0CA5">
      <w:pPr>
        <w:rPr>
          <w:b/>
          <w:bCs/>
        </w:rPr>
      </w:pPr>
      <w:r w:rsidRPr="00AB0CA5">
        <w:rPr>
          <w:b/>
          <w:bCs/>
        </w:rPr>
        <w:t>3. Product Design Specification (PDS)</w:t>
      </w:r>
    </w:p>
    <w:p w14:paraId="598CE25B" w14:textId="77777777" w:rsidR="00AB0CA5" w:rsidRPr="00AB0CA5" w:rsidRDefault="00AB0CA5" w:rsidP="00AB0CA5">
      <w:r w:rsidRPr="00AB0CA5">
        <w:t xml:space="preserve">The design and manufacturing boundaries of the </w:t>
      </w:r>
      <w:proofErr w:type="spellStart"/>
      <w:r w:rsidRPr="00AB0CA5">
        <w:t>PlanetSort</w:t>
      </w:r>
      <w:proofErr w:type="spellEnd"/>
      <w:r w:rsidRPr="00AB0CA5">
        <w:t xml:space="preserve">: </w:t>
      </w:r>
      <w:proofErr w:type="spellStart"/>
      <w:r w:rsidRPr="00AB0CA5">
        <w:t>OrbitQuest</w:t>
      </w:r>
      <w:proofErr w:type="spellEnd"/>
      <w:r w:rsidRPr="00AB0CA5">
        <w:t xml:space="preserve"> mechatronic system are strictly governed by the following engineering criteria, established in accordance with course constraints and childhood safety standards: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4"/>
        <w:gridCol w:w="1552"/>
        <w:gridCol w:w="1723"/>
        <w:gridCol w:w="1844"/>
        <w:gridCol w:w="1009"/>
        <w:gridCol w:w="1868"/>
      </w:tblGrid>
      <w:tr w:rsidR="00AB0CA5" w:rsidRPr="00AB0CA5" w14:paraId="5A07F49D" w14:textId="77777777" w:rsidTr="008154D7">
        <w:tc>
          <w:tcPr>
            <w:tcW w:w="0" w:type="auto"/>
            <w:hideMark/>
          </w:tcPr>
          <w:p w14:paraId="0CD49E9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Parameter ID</w:t>
            </w:r>
          </w:p>
        </w:tc>
        <w:tc>
          <w:tcPr>
            <w:tcW w:w="0" w:type="auto"/>
            <w:hideMark/>
          </w:tcPr>
          <w:p w14:paraId="53D5D9E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Category</w:t>
            </w:r>
          </w:p>
        </w:tc>
        <w:tc>
          <w:tcPr>
            <w:tcW w:w="0" w:type="auto"/>
            <w:hideMark/>
          </w:tcPr>
          <w:p w14:paraId="4E15703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Performance Requirement</w:t>
            </w:r>
          </w:p>
        </w:tc>
        <w:tc>
          <w:tcPr>
            <w:tcW w:w="0" w:type="auto"/>
            <w:hideMark/>
          </w:tcPr>
          <w:p w14:paraId="277E22F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Quantitative Target Metric</w:t>
            </w:r>
          </w:p>
        </w:tc>
        <w:tc>
          <w:tcPr>
            <w:tcW w:w="0" w:type="auto"/>
            <w:hideMark/>
          </w:tcPr>
          <w:p w14:paraId="2D10B17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Priority (D/W)</w:t>
            </w:r>
          </w:p>
        </w:tc>
        <w:tc>
          <w:tcPr>
            <w:tcW w:w="0" w:type="auto"/>
            <w:hideMark/>
          </w:tcPr>
          <w:p w14:paraId="74757B4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Engineering Justification &amp; Source</w:t>
            </w:r>
          </w:p>
        </w:tc>
      </w:tr>
      <w:tr w:rsidR="00AB0CA5" w:rsidRPr="00AB0CA5" w14:paraId="478F194A" w14:textId="77777777" w:rsidTr="008154D7">
        <w:tc>
          <w:tcPr>
            <w:tcW w:w="0" w:type="auto"/>
            <w:hideMark/>
          </w:tcPr>
          <w:p w14:paraId="7E401B59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PDS-01</w:t>
            </w:r>
          </w:p>
        </w:tc>
        <w:tc>
          <w:tcPr>
            <w:tcW w:w="0" w:type="auto"/>
            <w:hideMark/>
          </w:tcPr>
          <w:p w14:paraId="7C66303F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Performance</w:t>
            </w:r>
          </w:p>
        </w:tc>
        <w:tc>
          <w:tcPr>
            <w:tcW w:w="0" w:type="auto"/>
            <w:hideMark/>
          </w:tcPr>
          <w:p w14:paraId="7755D81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Primary Functional Cycle</w:t>
            </w:r>
          </w:p>
        </w:tc>
        <w:tc>
          <w:tcPr>
            <w:tcW w:w="0" w:type="auto"/>
            <w:hideMark/>
          </w:tcPr>
          <w:p w14:paraId="3350109F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Complete autonomous color-based scanning, helical elevation, and parabolic projectile tracking. </w:t>
            </w:r>
          </w:p>
        </w:tc>
        <w:tc>
          <w:tcPr>
            <w:tcW w:w="0" w:type="auto"/>
            <w:hideMark/>
          </w:tcPr>
          <w:p w14:paraId="219A800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3F2D4A7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Fulfills core mechatronic module requirements defined by the teaching committee. </w:t>
            </w:r>
          </w:p>
        </w:tc>
      </w:tr>
      <w:tr w:rsidR="00AB0CA5" w:rsidRPr="00AB0CA5" w14:paraId="2497B262" w14:textId="77777777" w:rsidTr="008154D7">
        <w:tc>
          <w:tcPr>
            <w:tcW w:w="0" w:type="auto"/>
            <w:hideMark/>
          </w:tcPr>
          <w:p w14:paraId="57CA061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PDS-02</w:t>
            </w:r>
          </w:p>
        </w:tc>
        <w:tc>
          <w:tcPr>
            <w:tcW w:w="0" w:type="auto"/>
            <w:hideMark/>
          </w:tcPr>
          <w:p w14:paraId="7C58BB3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Performance</w:t>
            </w:r>
          </w:p>
        </w:tc>
        <w:tc>
          <w:tcPr>
            <w:tcW w:w="0" w:type="auto"/>
            <w:hideMark/>
          </w:tcPr>
          <w:p w14:paraId="7313B194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Closed-Loop Path Execution</w:t>
            </w:r>
          </w:p>
        </w:tc>
        <w:tc>
          <w:tcPr>
            <w:tcW w:w="0" w:type="auto"/>
            <w:hideMark/>
          </w:tcPr>
          <w:p w14:paraId="5590716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1 single ball loading point; 100 percent internal containment tracking throughout the complete operational loop. </w:t>
            </w:r>
          </w:p>
        </w:tc>
        <w:tc>
          <w:tcPr>
            <w:tcW w:w="0" w:type="auto"/>
            <w:hideMark/>
          </w:tcPr>
          <w:p w14:paraId="215A5E65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22E41F7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Eradicates loose rolling pieces and ensures total containment of loose parts during the full loop. </w:t>
            </w:r>
          </w:p>
        </w:tc>
      </w:tr>
      <w:tr w:rsidR="00AB0CA5" w:rsidRPr="00AB0CA5" w14:paraId="6F0E6E3E" w14:textId="77777777" w:rsidTr="008154D7">
        <w:tc>
          <w:tcPr>
            <w:tcW w:w="0" w:type="auto"/>
            <w:hideMark/>
          </w:tcPr>
          <w:p w14:paraId="6AA31C2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PDS-03</w:t>
            </w:r>
          </w:p>
        </w:tc>
        <w:tc>
          <w:tcPr>
            <w:tcW w:w="0" w:type="auto"/>
            <w:hideMark/>
          </w:tcPr>
          <w:p w14:paraId="0E7B4FF2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Mechanical</w:t>
            </w:r>
          </w:p>
        </w:tc>
        <w:tc>
          <w:tcPr>
            <w:tcW w:w="0" w:type="auto"/>
            <w:hideMark/>
          </w:tcPr>
          <w:p w14:paraId="2BB6B99A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Ball Classification (Sorting)</w:t>
            </w:r>
          </w:p>
        </w:tc>
        <w:tc>
          <w:tcPr>
            <w:tcW w:w="0" w:type="auto"/>
            <w:hideMark/>
          </w:tcPr>
          <w:p w14:paraId="1BFB15C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Automated color identification via wavelength checks to separate balls into 2 divergent channels. </w:t>
            </w:r>
          </w:p>
        </w:tc>
        <w:tc>
          <w:tcPr>
            <w:tcW w:w="0" w:type="auto"/>
            <w:hideMark/>
          </w:tcPr>
          <w:p w14:paraId="0A7E213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23CC48B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Driven by a TCS3200 sensor array acting on dual SG90 micro-servo flipper gates. </w:t>
            </w:r>
          </w:p>
        </w:tc>
      </w:tr>
      <w:tr w:rsidR="00AB0CA5" w:rsidRPr="00AB0CA5" w14:paraId="32811E1E" w14:textId="77777777" w:rsidTr="008154D7">
        <w:tc>
          <w:tcPr>
            <w:tcW w:w="0" w:type="auto"/>
            <w:hideMark/>
          </w:tcPr>
          <w:p w14:paraId="17A8319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lastRenderedPageBreak/>
              <w:t>PDS-04</w:t>
            </w:r>
          </w:p>
        </w:tc>
        <w:tc>
          <w:tcPr>
            <w:tcW w:w="0" w:type="auto"/>
            <w:hideMark/>
          </w:tcPr>
          <w:p w14:paraId="2A834B71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Mechanical</w:t>
            </w:r>
          </w:p>
        </w:tc>
        <w:tc>
          <w:tcPr>
            <w:tcW w:w="0" w:type="auto"/>
            <w:hideMark/>
          </w:tcPr>
          <w:p w14:paraId="09F202E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Vertical Lifting Mechanism</w:t>
            </w:r>
          </w:p>
        </w:tc>
        <w:tc>
          <w:tcPr>
            <w:tcW w:w="0" w:type="auto"/>
            <w:hideMark/>
          </w:tcPr>
          <w:p w14:paraId="2464F02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Enclosed helical vertical transit lifting columns safely transporting marbles. </w:t>
            </w:r>
          </w:p>
        </w:tc>
        <w:tc>
          <w:tcPr>
            <w:tcW w:w="0" w:type="auto"/>
            <w:hideMark/>
          </w:tcPr>
          <w:p w14:paraId="4F5E5C37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72048577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Employs an Archimedes spiral screw coupled to a NEMA 17 stepper motor running via an A4988 driver. </w:t>
            </w:r>
          </w:p>
        </w:tc>
      </w:tr>
      <w:tr w:rsidR="00AB0CA5" w:rsidRPr="00AB0CA5" w14:paraId="4C189B0C" w14:textId="77777777" w:rsidTr="008154D7">
        <w:tc>
          <w:tcPr>
            <w:tcW w:w="0" w:type="auto"/>
            <w:hideMark/>
          </w:tcPr>
          <w:p w14:paraId="1E6D305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PDS-05</w:t>
            </w:r>
          </w:p>
        </w:tc>
        <w:tc>
          <w:tcPr>
            <w:tcW w:w="0" w:type="auto"/>
            <w:hideMark/>
          </w:tcPr>
          <w:p w14:paraId="5DE4C329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Mechanical</w:t>
            </w:r>
          </w:p>
        </w:tc>
        <w:tc>
          <w:tcPr>
            <w:tcW w:w="0" w:type="auto"/>
            <w:hideMark/>
          </w:tcPr>
          <w:p w14:paraId="2C1FED4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Projectile Launch Subsystem</w:t>
            </w:r>
          </w:p>
        </w:tc>
        <w:tc>
          <w:tcPr>
            <w:tcW w:w="0" w:type="auto"/>
            <w:hideMark/>
          </w:tcPr>
          <w:p w14:paraId="5FDDF65C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Friction-driven twin counter-rotating projection engine angled at a fixed incline. </w:t>
            </w:r>
          </w:p>
        </w:tc>
        <w:tc>
          <w:tcPr>
            <w:tcW w:w="0" w:type="auto"/>
            <w:hideMark/>
          </w:tcPr>
          <w:p w14:paraId="61410B2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1755A7F2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Calibrated via PWM duty cycles to achieve an exit velocity of v0 = 4.15 m/s at a fixed 30-degree launch angle. </w:t>
            </w:r>
          </w:p>
        </w:tc>
      </w:tr>
      <w:tr w:rsidR="00AB0CA5" w:rsidRPr="00AB0CA5" w14:paraId="2C122939" w14:textId="77777777" w:rsidTr="008154D7">
        <w:tc>
          <w:tcPr>
            <w:tcW w:w="0" w:type="auto"/>
            <w:hideMark/>
          </w:tcPr>
          <w:p w14:paraId="6700F4AC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PDS-06</w:t>
            </w:r>
          </w:p>
        </w:tc>
        <w:tc>
          <w:tcPr>
            <w:tcW w:w="0" w:type="auto"/>
            <w:hideMark/>
          </w:tcPr>
          <w:p w14:paraId="2AB7581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Control</w:t>
            </w:r>
          </w:p>
        </w:tc>
        <w:tc>
          <w:tcPr>
            <w:tcW w:w="0" w:type="auto"/>
            <w:hideMark/>
          </w:tcPr>
          <w:p w14:paraId="56BBD3A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Embedded Processing Nodes</w:t>
            </w:r>
          </w:p>
        </w:tc>
        <w:tc>
          <w:tcPr>
            <w:tcW w:w="0" w:type="auto"/>
            <w:hideMark/>
          </w:tcPr>
          <w:p w14:paraId="7EB4AC2C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Dual-microcontroller processing grid mapping tasks across independent domains. </w:t>
            </w:r>
          </w:p>
        </w:tc>
        <w:tc>
          <w:tcPr>
            <w:tcW w:w="0" w:type="auto"/>
            <w:hideMark/>
          </w:tcPr>
          <w:p w14:paraId="743E1EC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0E2E94E1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Deploys 2 x ESP32 </w:t>
            </w:r>
            <w:proofErr w:type="spellStart"/>
            <w:r w:rsidRPr="00AB0CA5">
              <w:t>DevKitC</w:t>
            </w:r>
            <w:proofErr w:type="spellEnd"/>
            <w:r w:rsidRPr="00AB0CA5">
              <w:t xml:space="preserve"> boards communicating wirelessly via low-latency peer-to-peer ESP-NOW protocol. </w:t>
            </w:r>
          </w:p>
        </w:tc>
      </w:tr>
      <w:tr w:rsidR="00AB0CA5" w:rsidRPr="00AB0CA5" w14:paraId="0999FC26" w14:textId="77777777" w:rsidTr="008154D7">
        <w:tc>
          <w:tcPr>
            <w:tcW w:w="0" w:type="auto"/>
            <w:hideMark/>
          </w:tcPr>
          <w:p w14:paraId="4FC42CFF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PDS-07</w:t>
            </w:r>
          </w:p>
        </w:tc>
        <w:tc>
          <w:tcPr>
            <w:tcW w:w="0" w:type="auto"/>
            <w:hideMark/>
          </w:tcPr>
          <w:p w14:paraId="33FF22C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Control</w:t>
            </w:r>
          </w:p>
        </w:tc>
        <w:tc>
          <w:tcPr>
            <w:tcW w:w="0" w:type="auto"/>
            <w:hideMark/>
          </w:tcPr>
          <w:p w14:paraId="5DE70F74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Local User Interface</w:t>
            </w:r>
          </w:p>
        </w:tc>
        <w:tc>
          <w:tcPr>
            <w:tcW w:w="0" w:type="auto"/>
            <w:hideMark/>
          </w:tcPr>
          <w:p w14:paraId="0448AE1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Direct visual character menu terminal output (Seven-Segment configurations are strictly prohibited). </w:t>
            </w:r>
          </w:p>
        </w:tc>
        <w:tc>
          <w:tcPr>
            <w:tcW w:w="0" w:type="auto"/>
            <w:hideMark/>
          </w:tcPr>
          <w:p w14:paraId="734B266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250D484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Employs 2 x onboard 16x4 character I2C LCD displays showing real-time subsystem state tracking. </w:t>
            </w:r>
          </w:p>
        </w:tc>
      </w:tr>
      <w:tr w:rsidR="00AB0CA5" w:rsidRPr="00AB0CA5" w14:paraId="69DBA900" w14:textId="77777777" w:rsidTr="008154D7">
        <w:tc>
          <w:tcPr>
            <w:tcW w:w="0" w:type="auto"/>
            <w:hideMark/>
          </w:tcPr>
          <w:p w14:paraId="736AEE0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lastRenderedPageBreak/>
              <w:t>PDS-08</w:t>
            </w:r>
          </w:p>
        </w:tc>
        <w:tc>
          <w:tcPr>
            <w:tcW w:w="0" w:type="auto"/>
            <w:hideMark/>
          </w:tcPr>
          <w:p w14:paraId="683B8E6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Control</w:t>
            </w:r>
          </w:p>
        </w:tc>
        <w:tc>
          <w:tcPr>
            <w:tcW w:w="0" w:type="auto"/>
            <w:hideMark/>
          </w:tcPr>
          <w:p w14:paraId="4FD25D2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Remote Monitoring Terminal</w:t>
            </w:r>
          </w:p>
        </w:tc>
        <w:tc>
          <w:tcPr>
            <w:tcW w:w="0" w:type="auto"/>
            <w:hideMark/>
          </w:tcPr>
          <w:p w14:paraId="544D992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Wireless graphical monitoring software </w:t>
            </w:r>
            <w:proofErr w:type="gramStart"/>
            <w:r w:rsidRPr="00AB0CA5">
              <w:t>providing</w:t>
            </w:r>
            <w:proofErr w:type="gramEnd"/>
            <w:r w:rsidRPr="00AB0CA5">
              <w:t xml:space="preserve"> score and color parameter logging. </w:t>
            </w:r>
          </w:p>
        </w:tc>
        <w:tc>
          <w:tcPr>
            <w:tcW w:w="0" w:type="auto"/>
            <w:hideMark/>
          </w:tcPr>
          <w:p w14:paraId="3FF97F81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W</w:t>
            </w:r>
          </w:p>
        </w:tc>
        <w:tc>
          <w:tcPr>
            <w:tcW w:w="0" w:type="auto"/>
            <w:hideMark/>
          </w:tcPr>
          <w:p w14:paraId="619D47E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Achieved through </w:t>
            </w:r>
            <w:proofErr w:type="gramStart"/>
            <w:r w:rsidRPr="00AB0CA5">
              <w:t>a custom</w:t>
            </w:r>
            <w:proofErr w:type="gramEnd"/>
            <w:r w:rsidRPr="00AB0CA5">
              <w:t xml:space="preserve"> Processing.io application interacting via integrated Bluetooth Serial Port Profile. </w:t>
            </w:r>
          </w:p>
        </w:tc>
      </w:tr>
      <w:tr w:rsidR="00AB0CA5" w:rsidRPr="00AB0CA5" w14:paraId="4AFB2EEE" w14:textId="77777777" w:rsidTr="008154D7">
        <w:tc>
          <w:tcPr>
            <w:tcW w:w="0" w:type="auto"/>
            <w:hideMark/>
          </w:tcPr>
          <w:p w14:paraId="2AEF6787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PDS-09</w:t>
            </w:r>
          </w:p>
        </w:tc>
        <w:tc>
          <w:tcPr>
            <w:tcW w:w="0" w:type="auto"/>
            <w:hideMark/>
          </w:tcPr>
          <w:p w14:paraId="3D63698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Electrical</w:t>
            </w:r>
          </w:p>
        </w:tc>
        <w:tc>
          <w:tcPr>
            <w:tcW w:w="0" w:type="auto"/>
            <w:hideMark/>
          </w:tcPr>
          <w:p w14:paraId="29D5395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Power Infrastructure</w:t>
            </w:r>
          </w:p>
        </w:tc>
        <w:tc>
          <w:tcPr>
            <w:tcW w:w="0" w:type="auto"/>
            <w:hideMark/>
          </w:tcPr>
          <w:p w14:paraId="74048BE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Single, unified power input terminal block layout supplying the entire backplane. </w:t>
            </w:r>
          </w:p>
        </w:tc>
        <w:tc>
          <w:tcPr>
            <w:tcW w:w="0" w:type="auto"/>
            <w:hideMark/>
          </w:tcPr>
          <w:p w14:paraId="6D77EE9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2D08F065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Eradicates independent secondary battery networks; safely driven by a single 12V, 5A DC adapter power source. </w:t>
            </w:r>
          </w:p>
        </w:tc>
      </w:tr>
      <w:tr w:rsidR="00AB0CA5" w:rsidRPr="00AB0CA5" w14:paraId="713E6A19" w14:textId="77777777" w:rsidTr="008154D7">
        <w:tc>
          <w:tcPr>
            <w:tcW w:w="0" w:type="auto"/>
            <w:hideMark/>
          </w:tcPr>
          <w:p w14:paraId="21442AF1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PDS-10</w:t>
            </w:r>
          </w:p>
        </w:tc>
        <w:tc>
          <w:tcPr>
            <w:tcW w:w="0" w:type="auto"/>
            <w:hideMark/>
          </w:tcPr>
          <w:p w14:paraId="4F30282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Electrical</w:t>
            </w:r>
          </w:p>
        </w:tc>
        <w:tc>
          <w:tcPr>
            <w:tcW w:w="0" w:type="auto"/>
            <w:hideMark/>
          </w:tcPr>
          <w:p w14:paraId="058160C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Onboard Voltage Regulation</w:t>
            </w:r>
          </w:p>
        </w:tc>
        <w:tc>
          <w:tcPr>
            <w:tcW w:w="0" w:type="auto"/>
            <w:hideMark/>
          </w:tcPr>
          <w:p w14:paraId="4F694D89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Local voltage step-down buses to distribute isolated logic and actuator rails. </w:t>
            </w:r>
          </w:p>
        </w:tc>
        <w:tc>
          <w:tcPr>
            <w:tcW w:w="0" w:type="auto"/>
            <w:hideMark/>
          </w:tcPr>
          <w:p w14:paraId="15D06BE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77C8E677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Integrates LM2596-based buck converter circuits on the custom PCB to step down 12V input to a stabilized 5V rail. </w:t>
            </w:r>
          </w:p>
        </w:tc>
      </w:tr>
      <w:tr w:rsidR="00AB0CA5" w:rsidRPr="00AB0CA5" w14:paraId="3815E120" w14:textId="77777777" w:rsidTr="008154D7">
        <w:tc>
          <w:tcPr>
            <w:tcW w:w="0" w:type="auto"/>
            <w:hideMark/>
          </w:tcPr>
          <w:p w14:paraId="02793F7D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PDS-11</w:t>
            </w:r>
          </w:p>
        </w:tc>
        <w:tc>
          <w:tcPr>
            <w:tcW w:w="0" w:type="auto"/>
            <w:hideMark/>
          </w:tcPr>
          <w:p w14:paraId="0085626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Electrical</w:t>
            </w:r>
          </w:p>
        </w:tc>
        <w:tc>
          <w:tcPr>
            <w:tcW w:w="0" w:type="auto"/>
            <w:hideMark/>
          </w:tcPr>
          <w:p w14:paraId="181BA6B1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Custom Manufacturing</w:t>
            </w:r>
          </w:p>
        </w:tc>
        <w:tc>
          <w:tcPr>
            <w:tcW w:w="0" w:type="auto"/>
            <w:hideMark/>
          </w:tcPr>
          <w:p w14:paraId="77D6860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Clean signal routing and integration of system hardware components. </w:t>
            </w:r>
          </w:p>
        </w:tc>
        <w:tc>
          <w:tcPr>
            <w:tcW w:w="0" w:type="auto"/>
            <w:hideMark/>
          </w:tcPr>
          <w:p w14:paraId="7BE15872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0F0B1AF5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Mandates a minimum of 1 custom-manufactured PCB serving as the power distribution and </w:t>
            </w:r>
            <w:r w:rsidRPr="00AB0CA5">
              <w:lastRenderedPageBreak/>
              <w:t xml:space="preserve">circuit protection hub. </w:t>
            </w:r>
          </w:p>
        </w:tc>
      </w:tr>
      <w:tr w:rsidR="00AB0CA5" w:rsidRPr="00AB0CA5" w14:paraId="511119CD" w14:textId="77777777" w:rsidTr="008154D7">
        <w:tc>
          <w:tcPr>
            <w:tcW w:w="0" w:type="auto"/>
            <w:hideMark/>
          </w:tcPr>
          <w:p w14:paraId="3A6A6457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lastRenderedPageBreak/>
              <w:t>PDS-12</w:t>
            </w:r>
          </w:p>
        </w:tc>
        <w:tc>
          <w:tcPr>
            <w:tcW w:w="0" w:type="auto"/>
            <w:hideMark/>
          </w:tcPr>
          <w:p w14:paraId="1E981DAC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Physical</w:t>
            </w:r>
          </w:p>
        </w:tc>
        <w:tc>
          <w:tcPr>
            <w:tcW w:w="0" w:type="auto"/>
            <w:hideMark/>
          </w:tcPr>
          <w:p w14:paraId="4CB70E9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Volumetric Footprint Bounds</w:t>
            </w:r>
          </w:p>
        </w:tc>
        <w:tc>
          <w:tcPr>
            <w:tcW w:w="0" w:type="auto"/>
            <w:hideMark/>
          </w:tcPr>
          <w:p w14:paraId="25B6F4FF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Total external packaging bounds must remain within a compact structural envelope. </w:t>
            </w:r>
          </w:p>
        </w:tc>
        <w:tc>
          <w:tcPr>
            <w:tcW w:w="0" w:type="auto"/>
            <w:hideMark/>
          </w:tcPr>
          <w:p w14:paraId="76E19B12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480709D5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Maximum allowable boundaries of 100 cm x 100 cm x 100 cm; nominal layout optimized at 70 cm x 60 cm. </w:t>
            </w:r>
          </w:p>
        </w:tc>
      </w:tr>
      <w:tr w:rsidR="00AB0CA5" w:rsidRPr="00AB0CA5" w14:paraId="4180360C" w14:textId="77777777" w:rsidTr="008154D7">
        <w:tc>
          <w:tcPr>
            <w:tcW w:w="0" w:type="auto"/>
            <w:hideMark/>
          </w:tcPr>
          <w:p w14:paraId="1817BD1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PDS-13</w:t>
            </w:r>
          </w:p>
        </w:tc>
        <w:tc>
          <w:tcPr>
            <w:tcW w:w="0" w:type="auto"/>
            <w:hideMark/>
          </w:tcPr>
          <w:p w14:paraId="61BEF419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Physical</w:t>
            </w:r>
          </w:p>
        </w:tc>
        <w:tc>
          <w:tcPr>
            <w:tcW w:w="0" w:type="auto"/>
            <w:hideMark/>
          </w:tcPr>
          <w:p w14:paraId="75A758D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Structural Composition</w:t>
            </w:r>
          </w:p>
        </w:tc>
        <w:tc>
          <w:tcPr>
            <w:tcW w:w="0" w:type="auto"/>
            <w:hideMark/>
          </w:tcPr>
          <w:p w14:paraId="30092B2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Non-toxic, rigid, drop-resistant material profiles with post-processed sanded facings. </w:t>
            </w:r>
          </w:p>
        </w:tc>
        <w:tc>
          <w:tcPr>
            <w:tcW w:w="0" w:type="auto"/>
            <w:hideMark/>
          </w:tcPr>
          <w:p w14:paraId="6AC9E77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5EC187B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Utilizes child-safe, deburred 3D-printed PLA mechanical paths mounted securely on a smooth 6 mm MDF baseboard. </w:t>
            </w:r>
          </w:p>
        </w:tc>
      </w:tr>
      <w:tr w:rsidR="00AB0CA5" w:rsidRPr="00AB0CA5" w14:paraId="6D326EB1" w14:textId="77777777" w:rsidTr="008154D7">
        <w:tc>
          <w:tcPr>
            <w:tcW w:w="0" w:type="auto"/>
            <w:hideMark/>
          </w:tcPr>
          <w:p w14:paraId="6EA6378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PDS-14</w:t>
            </w:r>
          </w:p>
        </w:tc>
        <w:tc>
          <w:tcPr>
            <w:tcW w:w="0" w:type="auto"/>
            <w:hideMark/>
          </w:tcPr>
          <w:p w14:paraId="79AD600D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Physical</w:t>
            </w:r>
          </w:p>
        </w:tc>
        <w:tc>
          <w:tcPr>
            <w:tcW w:w="0" w:type="auto"/>
            <w:hideMark/>
          </w:tcPr>
          <w:p w14:paraId="0B4AD879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Structural Modularity</w:t>
            </w:r>
          </w:p>
        </w:tc>
        <w:tc>
          <w:tcPr>
            <w:tcW w:w="0" w:type="auto"/>
            <w:hideMark/>
          </w:tcPr>
          <w:p w14:paraId="515F564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Subsystem mechanical arrays must cleanly decouple for maintenance. </w:t>
            </w:r>
          </w:p>
        </w:tc>
        <w:tc>
          <w:tcPr>
            <w:tcW w:w="0" w:type="auto"/>
            <w:hideMark/>
          </w:tcPr>
          <w:p w14:paraId="517D9DBC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5B191B20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Divided into 3 distinct modules (Sorting, Lifting, Shooting) using dedicated, polarized JST cable harnesses. </w:t>
            </w:r>
          </w:p>
        </w:tc>
      </w:tr>
      <w:tr w:rsidR="00AB0CA5" w:rsidRPr="00AB0CA5" w14:paraId="4E7CFDC1" w14:textId="77777777" w:rsidTr="008154D7">
        <w:tc>
          <w:tcPr>
            <w:tcW w:w="0" w:type="auto"/>
            <w:hideMark/>
          </w:tcPr>
          <w:p w14:paraId="42CD74DC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PDS-15</w:t>
            </w:r>
          </w:p>
        </w:tc>
        <w:tc>
          <w:tcPr>
            <w:tcW w:w="0" w:type="auto"/>
            <w:hideMark/>
          </w:tcPr>
          <w:p w14:paraId="5F08FFCD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Safety</w:t>
            </w:r>
          </w:p>
        </w:tc>
        <w:tc>
          <w:tcPr>
            <w:tcW w:w="0" w:type="auto"/>
            <w:hideMark/>
          </w:tcPr>
          <w:p w14:paraId="774A3A2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Hazard &amp; Shock Proofing</w:t>
            </w:r>
          </w:p>
        </w:tc>
        <w:tc>
          <w:tcPr>
            <w:tcW w:w="0" w:type="auto"/>
            <w:hideMark/>
          </w:tcPr>
          <w:p w14:paraId="75A6E75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100 percent concealment of electronic terminals and moving columns from user contact. </w:t>
            </w:r>
          </w:p>
        </w:tc>
        <w:tc>
          <w:tcPr>
            <w:tcW w:w="0" w:type="auto"/>
            <w:hideMark/>
          </w:tcPr>
          <w:p w14:paraId="1F055BA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2B9A034A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All electrical wiring is routed through integrated internal tracks; the helical lifter is encased </w:t>
            </w:r>
            <w:r w:rsidRPr="00AB0CA5">
              <w:lastRenderedPageBreak/>
              <w:t xml:space="preserve">inside clear acrylic. </w:t>
            </w:r>
          </w:p>
        </w:tc>
      </w:tr>
      <w:tr w:rsidR="00AB0CA5" w:rsidRPr="00AB0CA5" w14:paraId="5DEF0FCF" w14:textId="77777777" w:rsidTr="008154D7">
        <w:tc>
          <w:tcPr>
            <w:tcW w:w="0" w:type="auto"/>
            <w:hideMark/>
          </w:tcPr>
          <w:p w14:paraId="2C1FC715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lastRenderedPageBreak/>
              <w:t>PDS-16</w:t>
            </w:r>
          </w:p>
        </w:tc>
        <w:tc>
          <w:tcPr>
            <w:tcW w:w="0" w:type="auto"/>
            <w:hideMark/>
          </w:tcPr>
          <w:p w14:paraId="5A252EA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Safety</w:t>
            </w:r>
          </w:p>
        </w:tc>
        <w:tc>
          <w:tcPr>
            <w:tcW w:w="0" w:type="auto"/>
            <w:hideMark/>
          </w:tcPr>
          <w:p w14:paraId="5F7C3F3E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Ingestion Hazard Control</w:t>
            </w:r>
          </w:p>
        </w:tc>
        <w:tc>
          <w:tcPr>
            <w:tcW w:w="0" w:type="auto"/>
            <w:hideMark/>
          </w:tcPr>
          <w:p w14:paraId="3C9327A8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Planetary marble diameter sizing must remain strictly above choke testing cylinder limits. </w:t>
            </w:r>
          </w:p>
        </w:tc>
        <w:tc>
          <w:tcPr>
            <w:tcW w:w="0" w:type="auto"/>
            <w:hideMark/>
          </w:tcPr>
          <w:p w14:paraId="746534B7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69A444C4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Marble diameters are constrained between 35 mm and 40 mm to achieve compliance with global small parts toy safety criteria. </w:t>
            </w:r>
          </w:p>
        </w:tc>
      </w:tr>
      <w:tr w:rsidR="00AB0CA5" w:rsidRPr="00AB0CA5" w14:paraId="1E9970B5" w14:textId="77777777" w:rsidTr="008154D7">
        <w:tc>
          <w:tcPr>
            <w:tcW w:w="0" w:type="auto"/>
            <w:hideMark/>
          </w:tcPr>
          <w:p w14:paraId="373E54A9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PDS-17</w:t>
            </w:r>
          </w:p>
        </w:tc>
        <w:tc>
          <w:tcPr>
            <w:tcW w:w="0" w:type="auto"/>
            <w:hideMark/>
          </w:tcPr>
          <w:p w14:paraId="6D42B6C7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Safety</w:t>
            </w:r>
          </w:p>
        </w:tc>
        <w:tc>
          <w:tcPr>
            <w:tcW w:w="0" w:type="auto"/>
            <w:hideMark/>
          </w:tcPr>
          <w:p w14:paraId="336AD2E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Overcurrent Circuit Defense</w:t>
            </w:r>
          </w:p>
        </w:tc>
        <w:tc>
          <w:tcPr>
            <w:tcW w:w="0" w:type="auto"/>
            <w:hideMark/>
          </w:tcPr>
          <w:p w14:paraId="24299CE5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Automatic hardware-level current trip points to protect logic lines if a mechanism stalls. </w:t>
            </w:r>
          </w:p>
        </w:tc>
        <w:tc>
          <w:tcPr>
            <w:tcW w:w="0" w:type="auto"/>
            <w:hideMark/>
          </w:tcPr>
          <w:p w14:paraId="6B74C0C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791465FC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Features an inline, resettable polymeric 5A PTC fuse positioned immediately after the primary 12V DC power jack. </w:t>
            </w:r>
          </w:p>
        </w:tc>
      </w:tr>
      <w:tr w:rsidR="00AB0CA5" w:rsidRPr="00AB0CA5" w14:paraId="7D572754" w14:textId="77777777" w:rsidTr="008154D7">
        <w:tc>
          <w:tcPr>
            <w:tcW w:w="0" w:type="auto"/>
            <w:hideMark/>
          </w:tcPr>
          <w:p w14:paraId="7F85827A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PDS-18</w:t>
            </w:r>
          </w:p>
        </w:tc>
        <w:tc>
          <w:tcPr>
            <w:tcW w:w="0" w:type="auto"/>
            <w:hideMark/>
          </w:tcPr>
          <w:p w14:paraId="3FEB8166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Safety</w:t>
            </w:r>
          </w:p>
        </w:tc>
        <w:tc>
          <w:tcPr>
            <w:tcW w:w="0" w:type="auto"/>
            <w:hideMark/>
          </w:tcPr>
          <w:p w14:paraId="48D0024B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>Emergency System Shutdown</w:t>
            </w:r>
          </w:p>
        </w:tc>
        <w:tc>
          <w:tcPr>
            <w:tcW w:w="0" w:type="auto"/>
            <w:hideMark/>
          </w:tcPr>
          <w:p w14:paraId="6EF4C1B9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Instantaneous operational override path to halt all active actuators concurrently. </w:t>
            </w:r>
          </w:p>
        </w:tc>
        <w:tc>
          <w:tcPr>
            <w:tcW w:w="0" w:type="auto"/>
            <w:hideMark/>
          </w:tcPr>
          <w:p w14:paraId="3EB8C52D" w14:textId="77777777" w:rsidR="00AB0CA5" w:rsidRPr="00AB0CA5" w:rsidRDefault="00AB0CA5" w:rsidP="00AB0CA5">
            <w:pPr>
              <w:spacing w:after="160" w:line="278" w:lineRule="auto"/>
            </w:pPr>
            <w:r w:rsidRPr="00AB0CA5">
              <w:rPr>
                <w:b/>
                <w:bCs/>
              </w:rPr>
              <w:t>D</w:t>
            </w:r>
          </w:p>
        </w:tc>
        <w:tc>
          <w:tcPr>
            <w:tcW w:w="0" w:type="auto"/>
            <w:hideMark/>
          </w:tcPr>
          <w:p w14:paraId="517129A3" w14:textId="77777777" w:rsidR="00AB0CA5" w:rsidRPr="00AB0CA5" w:rsidRDefault="00AB0CA5" w:rsidP="00AB0CA5">
            <w:pPr>
              <w:spacing w:after="160" w:line="278" w:lineRule="auto"/>
            </w:pPr>
            <w:r w:rsidRPr="00AB0CA5">
              <w:t xml:space="preserve">Physical, high-priority tactile push buttons configured to force immediate low-level hardware firmware interrupts. </w:t>
            </w:r>
          </w:p>
        </w:tc>
      </w:tr>
    </w:tbl>
    <w:p w14:paraId="36E8FB35" w14:textId="77777777" w:rsidR="00AB0CA5" w:rsidRDefault="00AB0CA5" w:rsidP="00AB0CA5">
      <w:pPr>
        <w:ind w:left="720"/>
        <w:rPr>
          <w:rFonts w:ascii="Segoe UI Emoji" w:hAnsi="Segoe UI Emoji" w:cs="Segoe UI Emoji"/>
          <w:b/>
          <w:bCs/>
        </w:rPr>
      </w:pPr>
    </w:p>
    <w:p w14:paraId="1D0FDF11" w14:textId="7AD96FE0" w:rsidR="00AB0CA5" w:rsidRPr="00AB0CA5" w:rsidRDefault="00AB0CA5" w:rsidP="00AB0CA5">
      <w:pPr>
        <w:ind w:left="720"/>
      </w:pPr>
      <w:r w:rsidRPr="00AB0CA5">
        <w:rPr>
          <w:b/>
          <w:bCs/>
        </w:rPr>
        <w:t>The D/W Priority Filter:</w:t>
      </w:r>
      <w:r w:rsidRPr="00AB0CA5">
        <w:t xml:space="preserve"> By explicitly labeling safety and course specifications as absolute a Demand (D) and a Wish (W</w:t>
      </w:r>
      <w:r>
        <w:t xml:space="preserve">), </w:t>
      </w:r>
      <w:r w:rsidRPr="00AB0CA5">
        <w:t xml:space="preserve">you show the panel that risk mitigation was treated as a primary engineering objective from day one. </w:t>
      </w:r>
    </w:p>
    <w:p w14:paraId="75251ADA" w14:textId="77777777" w:rsidR="00DC5ADE" w:rsidRDefault="00DC5ADE"/>
    <w:sectPr w:rsidR="00DC5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ED439F"/>
    <w:multiLevelType w:val="multilevel"/>
    <w:tmpl w:val="F140B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175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2DC"/>
    <w:rsid w:val="00232CDE"/>
    <w:rsid w:val="008154D7"/>
    <w:rsid w:val="008302DC"/>
    <w:rsid w:val="008E59F4"/>
    <w:rsid w:val="00A67971"/>
    <w:rsid w:val="00AB0CA5"/>
    <w:rsid w:val="00AD7F7C"/>
    <w:rsid w:val="00AF67FF"/>
    <w:rsid w:val="00BD0B70"/>
    <w:rsid w:val="00D31A6C"/>
    <w:rsid w:val="00DC5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EFEB"/>
  <w15:chartTrackingRefBased/>
  <w15:docId w15:val="{D6775156-3E38-44D5-BB31-BDAE900E9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2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2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2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2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2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2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2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2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2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2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2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54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Abdoulrahman Adel Abdulrazek SAYED</dc:creator>
  <cp:keywords/>
  <dc:description/>
  <cp:lastModifiedBy>Abdoulrahman Adel Abdulrazek SAYED</cp:lastModifiedBy>
  <cp:revision>4</cp:revision>
  <dcterms:created xsi:type="dcterms:W3CDTF">2026-06-11T20:35:00Z</dcterms:created>
  <dcterms:modified xsi:type="dcterms:W3CDTF">2026-06-11T20:37:00Z</dcterms:modified>
</cp:coreProperties>
</file>