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bidi/>
        <w:spacing w:after="100"/>
        <w:jc w:val="center"/>
      </w:pPr>
      <w:r>
        <w:rPr>
          <w:rFonts w:ascii="Arial" w:cs="Arial" w:eastAsia="Arial" w:hAnsi="Arial"/>
          <w:b/>
          <w:bCs/>
          <w:color w:val="1F3864"/>
          <w:sz w:val="44"/>
          <w:szCs w:val="44"/>
          <w:rtl/>
        </w:rPr>
        <w:t xml:space="preserve">شركة شمس الهيلان</w:t>
      </w:r>
    </w:p>
    <w:p>
      <w:pPr>
        <w:spacing w:after="420"/>
        <w:jc w:val="center"/>
      </w:pPr>
      <w:r>
        <w:rPr>
          <w:rFonts w:ascii="Arial" w:cs="Arial" w:eastAsia="Arial" w:hAnsi="Arial"/>
          <w:color w:val="2E5C8A"/>
          <w:sz w:val="22"/>
          <w:szCs w:val="22"/>
        </w:rPr>
        <w:t xml:space="preserve">SHAMS AL-HAYLAN COMPANY  ·  SHH-01</w:t>
      </w:r>
    </w:p>
    <w:p>
      <w:pPr>
        <w:bidi/>
        <w:spacing w:after="120"/>
        <w:jc w:val="center"/>
      </w:pPr>
      <w:r>
        <w:rPr>
          <w:rFonts w:ascii="Arial" w:cs="Arial" w:eastAsia="Arial" w:hAnsi="Arial"/>
          <w:b/>
          <w:bCs/>
          <w:sz w:val="36"/>
          <w:szCs w:val="36"/>
          <w:rtl/>
        </w:rPr>
        <w:t xml:space="preserve">النظام المالي والمحاسبي</w:t>
      </w:r>
    </w:p>
    <w:p>
      <w:pPr>
        <w:bidi/>
        <w:spacing w:after="180"/>
        <w:jc w:val="center"/>
      </w:pPr>
      <w:r>
        <w:rPr>
          <w:rFonts w:ascii="Arial" w:cs="Arial" w:eastAsia="Arial" w:hAnsi="Arial"/>
          <w:color w:val="1F3864"/>
          <w:sz w:val="28"/>
          <w:szCs w:val="28"/>
          <w:rtl/>
        </w:rPr>
        <w:t xml:space="preserve">وثيقة المتطلبات الأعمالية والمحاسبية والوظيفية</w:t>
      </w:r>
    </w:p>
    <w:p>
      <w:pPr>
        <w:spacing w:after="900"/>
        <w:jc w:val="center"/>
      </w:pPr>
      <w:r>
        <w:rPr>
          <w:rFonts w:ascii="Arial" w:cs="Arial" w:eastAsia="Arial" w:hAnsi="Arial"/>
          <w:i/>
          <w:iCs/>
          <w:color w:val="2E5C8A"/>
          <w:sz w:val="20"/>
          <w:szCs w:val="20"/>
        </w:rPr>
        <w:t xml:space="preserve">Business, Accounting &amp; Functional Requirements Specification — Document A</w:t>
      </w:r>
    </w:p>
    <w:p>
      <w:pPr>
        <w:bidi/>
        <w:spacing w:after="80"/>
        <w:jc w:val="center"/>
      </w:pPr>
      <w:r>
        <w:rPr>
          <w:rFonts w:ascii="Arial" w:cs="Arial" w:eastAsia="Arial" w:hAnsi="Arial"/>
          <w:b/>
          <w:bCs/>
          <w:sz w:val="22"/>
          <w:szCs w:val="22"/>
          <w:rtl/>
        </w:rPr>
        <w:t xml:space="preserve">الإصدار 1.0  ·  للاعتماد من الإدارة والمحاسبة وفريق التطوير</w:t>
      </w:r>
    </w:p>
    <w:p>
      <w:pPr>
        <w:bidi/>
        <w:jc w:val="center"/>
      </w:pPr>
      <w:r>
        <w:rPr>
          <w:rFonts w:ascii="Arial" w:cs="Arial" w:eastAsia="Arial" w:hAnsi="Arial"/>
          <w:color w:val="595959"/>
          <w:sz w:val="20"/>
          <w:szCs w:val="20"/>
          <w:rtl/>
        </w:rPr>
        <w:t xml:space="preserve">العملة: الدينار العراقي (IQD) بدون كسور  ·  بداية المحاسبة: أيار 2023</w:t>
      </w:r>
    </w:p>
    <w:p>
      <w:r>
        <w:br w:type="page"/>
      </w:r>
    </w:p>
    <w:p>
      <w:pPr>
        <w:pStyle w:val="Heading1"/>
        <w:bidi/>
        <w:spacing w:after="120" w:before="360"/>
        <w:jc w:val="right"/>
      </w:pPr>
      <w:r>
        <w:rPr>
          <w:rFonts w:ascii="Arial" w:cs="Arial" w:eastAsia="Arial" w:hAnsi="Arial"/>
          <w:b/>
          <w:bCs/>
          <w:color w:val="1F3864"/>
          <w:sz w:val="30"/>
          <w:szCs w:val="30"/>
          <w:rtl/>
        </w:rPr>
        <w:t xml:space="preserve">1 · ضبط الوثيقة</w:t>
      </w:r>
    </w:p>
    <w:p>
      <w:pPr>
        <w:spacing w:after="160"/>
        <w:jc w:val="right"/>
      </w:pPr>
      <w:r>
        <w:rPr>
          <w:rFonts w:ascii="Arial" w:cs="Arial" w:eastAsia="Arial" w:hAnsi="Arial"/>
          <w:i/>
          <w:iCs/>
          <w:color w:val="2E5C8A"/>
          <w:sz w:val="18"/>
          <w:szCs w:val="18"/>
        </w:rPr>
        <w:t xml:space="preserve">Document Control</w:t>
      </w: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059"/>
        <w:gridCol w:w="7301"/>
      </w:tblGrid>
      <w:tr>
        <w:trPr>
          <w:tblHeader/>
        </w:trPr>
        <w:tc>
          <w:tcPr>
            <w:tcW w:type="dxa" w:w="2059"/>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البند</w:t>
            </w:r>
          </w:p>
        </w:tc>
        <w:tc>
          <w:tcPr>
            <w:tcW w:type="dxa" w:w="7301"/>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التفصيل</w:t>
            </w:r>
          </w:p>
        </w:tc>
      </w:tr>
      <w:tr>
        <w:tc>
          <w:tcPr>
            <w:tcW w:type="dxa" w:w="205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اسم النظام</w:t>
            </w:r>
          </w:p>
        </w:tc>
        <w:tc>
          <w:tcPr>
            <w:tcW w:type="dxa" w:w="7301"/>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النظام المالي والمحاسبي لشركة شمس الهيلان — SHH-01</w:t>
            </w:r>
          </w:p>
        </w:tc>
      </w:tr>
      <w:tr>
        <w:tc>
          <w:tcPr>
            <w:tcW w:type="dxa" w:w="205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عنوان الوثيقة</w:t>
            </w:r>
          </w:p>
        </w:tc>
        <w:tc>
          <w:tcPr>
            <w:tcW w:type="dxa" w:w="7301"/>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الوثيقة (أ) — متطلبات الأعمال والمحاسبة والمتطلبات الوظيفية</w:t>
            </w:r>
          </w:p>
        </w:tc>
      </w:tr>
      <w:tr>
        <w:tc>
          <w:tcPr>
            <w:tcW w:type="dxa" w:w="205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الإصدار</w:t>
            </w:r>
          </w:p>
        </w:tc>
        <w:tc>
          <w:tcPr>
            <w:tcW w:type="dxa" w:w="7301"/>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1.0</w:t>
            </w:r>
          </w:p>
        </w:tc>
      </w:tr>
      <w:tr>
        <w:tc>
          <w:tcPr>
            <w:tcW w:type="dxa" w:w="205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الحالة</w:t>
            </w:r>
          </w:p>
        </w:tc>
        <w:tc>
          <w:tcPr>
            <w:tcW w:type="dxa" w:w="7301"/>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مُعدّة للاعتماد الرسمي من الإدارة والمحاسبة وفريق تطوير البرمجيات</w:t>
            </w:r>
          </w:p>
        </w:tc>
      </w:tr>
      <w:tr>
        <w:tc>
          <w:tcPr>
            <w:tcW w:type="dxa" w:w="205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الغرض</w:t>
            </w:r>
          </w:p>
        </w:tc>
        <w:tc>
          <w:tcPr>
            <w:tcW w:type="dxa" w:w="7301"/>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وثيقة التوقيع الرسمية التي تُسلَّم إلى شركة تطوير البرمجيات باعتبارها المخطط التعاقدي الوظيفي والمحاسبي للنظام</w:t>
            </w:r>
          </w:p>
        </w:tc>
      </w:tr>
      <w:tr>
        <w:tc>
          <w:tcPr>
            <w:tcW w:type="dxa" w:w="205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العملة وسياسة العرض</w:t>
            </w:r>
          </w:p>
        </w:tc>
        <w:tc>
          <w:tcPr>
            <w:tcW w:type="dxa" w:w="7301"/>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الدينار العراقي (IQD) — قيم مطلقة بدون كسور عشرية</w:t>
            </w:r>
          </w:p>
        </w:tc>
      </w:tr>
      <w:tr>
        <w:tc>
          <w:tcPr>
            <w:tcW w:type="dxa" w:w="205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بداية المحاسبة</w:t>
            </w:r>
          </w:p>
        </w:tc>
        <w:tc>
          <w:tcPr>
            <w:tcW w:type="dxa" w:w="7301"/>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أيار 2023</w:t>
            </w:r>
          </w:p>
        </w:tc>
      </w:tr>
      <w:tr>
        <w:tc>
          <w:tcPr>
            <w:tcW w:type="dxa" w:w="205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المصدر المحاسبي المعتمد</w:t>
            </w:r>
          </w:p>
        </w:tc>
        <w:tc>
          <w:tcPr>
            <w:tcW w:type="dxa" w:w="7301"/>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قيود شمس الهيلان - مصحح تمويل الراشدية.xlsx — شجرة الحسابات وسجل القيود وميزان المراجعة وأوراق الرقابة</w:t>
            </w:r>
          </w:p>
        </w:tc>
      </w:tr>
      <w:tr>
        <w:tc>
          <w:tcPr>
            <w:tcW w:type="dxa" w:w="205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المرجع النظامي والتقريري</w:t>
            </w:r>
          </w:p>
        </w:tc>
        <w:tc>
          <w:tcPr>
            <w:tcW w:type="dxa" w:w="7301"/>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Shams_AlHaylan_Accounting_System_SHH-01.xlsx — الهيكل والسياسات وتصميم التقارير (بيانات توضيحية فقط)</w:t>
            </w:r>
          </w:p>
        </w:tc>
      </w:tr>
      <w:tr>
        <w:tc>
          <w:tcPr>
            <w:tcW w:type="dxa" w:w="205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الوثائق المرافقة</w:t>
            </w:r>
          </w:p>
        </w:tc>
        <w:tc>
          <w:tcPr>
            <w:tcW w:type="dxa" w:w="7301"/>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الوثيقة (ب): المواصفة الفنية للمطورين (Markdown)  ·  الوثيقة (ج): قاموس البيانات وخرائط الربط المحاسبي (Excel)</w:t>
            </w:r>
          </w:p>
        </w:tc>
      </w:tr>
    </w:tbl>
    <w:p>
      <w:pPr>
        <w:spacing w:after="180"/>
      </w:pPr>
    </w:p>
    <w:p>
      <w:pPr>
        <w:pStyle w:val="Heading2"/>
        <w:bidi/>
        <w:spacing w:after="120" w:before="260"/>
        <w:jc w:val="right"/>
      </w:pPr>
      <w:r>
        <w:rPr>
          <w:rFonts w:ascii="Arial" w:cs="Arial" w:eastAsia="Arial" w:hAnsi="Arial"/>
          <w:b/>
          <w:bCs/>
          <w:color w:val="1F3864"/>
          <w:sz w:val="25"/>
          <w:szCs w:val="25"/>
          <w:rtl/>
        </w:rPr>
        <w:t xml:space="preserve">1-1 · قاعدة أولوية المصدر</w:t>
      </w:r>
    </w:p>
    <w:p>
      <w:pPr>
        <w:spacing w:after="160"/>
        <w:jc w:val="right"/>
      </w:pPr>
      <w:r>
        <w:rPr>
          <w:rFonts w:ascii="Arial" w:cs="Arial" w:eastAsia="Arial" w:hAnsi="Arial"/>
          <w:i/>
          <w:iCs/>
          <w:color w:val="2E5C8A"/>
          <w:sz w:val="18"/>
          <w:szCs w:val="18"/>
        </w:rPr>
        <w:t xml:space="preserve">Source Priority Rule</w:t>
      </w:r>
    </w:p>
    <w:tbl>
      <w:tblPr>
        <w:bidiVisual/>
        <w:tblW w:type="dxa" w:w="9360"/>
        <w:tblBorders>
          <w:top w:val="single" w:color="D6B656" w:sz="4"/>
          <w:left w:val="single" w:color="D6B656" w:sz="18"/>
          <w:bottom w:val="single" w:color="D6B656" w:sz="4"/>
          <w:right w:val="single" w:color="D6B656" w:sz="4"/>
          <w:insideH w:val="none"/>
          <w:insideV w:val="none"/>
        </w:tblBorders>
      </w:tblPr>
      <w:tblGrid>
        <w:gridCol w:w="9360"/>
      </w:tblGrid>
      <w:tr>
        <w:tc>
          <w:tcPr>
            <w:tcW w:type="dxa" w:w="9360"/>
            <w:shd w:fill="FFF2CC" w:val="clear"/>
            <w:tcMar>
              <w:top w:type="dxa" w:w="120"/>
              <w:left w:type="dxa" w:w="140"/>
              <w:bottom w:type="dxa" w:w="120"/>
              <w:right w:type="dxa" w:w="140"/>
            </w:tcMar>
          </w:tcPr>
          <w:p>
            <w:pPr>
              <w:bidi/>
              <w:spacing w:line="300"/>
              <w:jc w:val="both"/>
            </w:pPr>
            <w:r>
              <w:rPr>
                <w:rFonts w:ascii="Arial" w:cs="Arial" w:eastAsia="Arial" w:hAnsi="Arial"/>
                <w:b/>
                <w:bCs/>
                <w:color w:val="7F6000"/>
                <w:sz w:val="21"/>
                <w:szCs w:val="21"/>
                <w:rtl/>
              </w:rPr>
              <w:t xml:space="preserve">شجرة الحسابات والتصنيفات المحاسبية النهائية الواردة في ملف «قيود شمس الهيلان - مصحح تمويل الراشدية» هي المرجع الحاكم، وتعلو على أي معلومة توضيحية مخالفة في الملف الثاني. لم تُعَد هيكلة شجرة الحسابات المعتمدة ولم تُستبدل، وكل تحسين مقترح وُثِّق بشكل منفصل تحت عنوان «تحسين موصى به» دون تغيير صامت لأي بنية معتمدة.</w:t>
            </w:r>
          </w:p>
        </w:tc>
      </w:tr>
    </w:tbl>
    <w:p>
      <w:pPr>
        <w:spacing w:after="180"/>
      </w:pPr>
    </w:p>
    <w:p>
      <w:pPr>
        <w:bidi/>
        <w:spacing w:after="140" w:line="300"/>
        <w:jc w:val="both"/>
      </w:pPr>
      <w:r>
        <w:rPr>
          <w:rFonts w:ascii="Arial" w:cs="Arial" w:eastAsia="Arial" w:hAnsi="Arial"/>
          <w:sz w:val="21"/>
          <w:szCs w:val="21"/>
          <w:rtl/>
        </w:rPr>
        <w:t xml:space="preserve">جرى حصر خمسة عشر تعارضاً بين الملفين، وحُسم كل تعارض وفق هذه القاعدة. يرد الجدول الكامل في الملحق (ج) من هذه الوثيقة وفي الورقة 02_Conflicts_Decisions من الوثيقة (ج). وأهمها أثراً على البناء ثلاثة:</w:t>
      </w:r>
    </w:p>
    <w:p>
      <w:pPr>
        <w:pStyle w:val="ListParagraph"/>
        <w:numPr>
          <w:ilvl w:val="0"/>
          <w:numId w:val="2"/>
        </w:numPr>
        <w:bidi/>
        <w:spacing w:after="90" w:line="290"/>
        <w:jc w:val="both"/>
      </w:pPr>
      <w:r>
        <w:rPr>
          <w:rFonts w:ascii="Arial" w:cs="Arial" w:eastAsia="Arial" w:hAnsi="Arial"/>
          <w:sz w:val="21"/>
          <w:szCs w:val="21"/>
          <w:rtl/>
        </w:rPr>
        <w:t xml:space="preserve">شجرة الحسابات في الملف الثاني (126 حساباً) مُلغاة بالكامل لصالح الشجرة المعتمدة (145 حساباً)، ولا يجوز تحميلها.</w:t>
      </w:r>
    </w:p>
    <w:p>
      <w:pPr>
        <w:pStyle w:val="ListParagraph"/>
        <w:numPr>
          <w:ilvl w:val="0"/>
          <w:numId w:val="2"/>
        </w:numPr>
        <w:bidi/>
        <w:spacing w:after="90" w:line="290"/>
        <w:jc w:val="both"/>
      </w:pPr>
      <w:r>
        <w:rPr>
          <w:rFonts w:ascii="Arial" w:cs="Arial" w:eastAsia="Arial" w:hAnsi="Arial"/>
          <w:sz w:val="21"/>
          <w:szCs w:val="21"/>
          <w:rtl/>
        </w:rPr>
        <w:t xml:space="preserve">الملف الثاني ينص على «مشروعين فقط»، بينما يحمل السجل المعتمد ثلاثة مشاريع: PRJ-01 وPRJ-02 وPRJ-03، إضافة إلى المركز الإداري CORP.</w:t>
      </w:r>
    </w:p>
    <w:p>
      <w:pPr>
        <w:pStyle w:val="ListParagraph"/>
        <w:numPr>
          <w:ilvl w:val="0"/>
          <w:numId w:val="2"/>
        </w:numPr>
        <w:bidi/>
        <w:spacing w:after="90" w:line="290"/>
        <w:jc w:val="both"/>
      </w:pPr>
      <w:r>
        <w:rPr>
          <w:rFonts w:ascii="Arial" w:cs="Arial" w:eastAsia="Arial" w:hAnsi="Arial"/>
          <w:sz w:val="21"/>
          <w:szCs w:val="21"/>
          <w:rtl/>
        </w:rPr>
        <w:t xml:space="preserve">الملف الثاني يُدرج الأرض بمبلغ 6,800,000,000 دينار، بينما يحمل السجل المعتمد الحساب 115001 بمبلغ 3,050,000,000 دينار. المبلغ التوضيحي لا يجوز أن يظهر في النظام أو في أي من تقاريره.</w:t>
      </w:r>
    </w:p>
    <w:p>
      <w:r>
        <w:br w:type="page"/>
      </w:r>
    </w:p>
    <w:p>
      <w:pPr>
        <w:pStyle w:val="Heading1"/>
        <w:bidi/>
        <w:spacing w:after="120" w:before="360"/>
        <w:jc w:val="right"/>
      </w:pPr>
      <w:r>
        <w:rPr>
          <w:rFonts w:ascii="Arial" w:cs="Arial" w:eastAsia="Arial" w:hAnsi="Arial"/>
          <w:b/>
          <w:bCs/>
          <w:color w:val="1F3864"/>
          <w:sz w:val="30"/>
          <w:szCs w:val="30"/>
          <w:rtl/>
        </w:rPr>
        <w:t xml:space="preserve">فهرس المحتويات</w:t>
      </w:r>
    </w:p>
    <w:p>
      <w:pPr>
        <w:spacing w:after="160"/>
        <w:jc w:val="right"/>
      </w:pPr>
      <w:r>
        <w:rPr>
          <w:rFonts w:ascii="Arial" w:cs="Arial" w:eastAsia="Arial" w:hAnsi="Arial"/>
          <w:i/>
          <w:iCs/>
          <w:color w:val="2E5C8A"/>
          <w:sz w:val="18"/>
          <w:szCs w:val="18"/>
        </w:rPr>
        <w:t xml:space="preserve">Table of Contents</w:t>
      </w:r>
    </w:p>
    <w:p>
      <w:pPr>
        <w:bidi/>
        <w:spacing w:after="140" w:line="300"/>
        <w:jc w:val="both"/>
      </w:pPr>
      <w:r>
        <w:rPr>
          <w:rFonts w:ascii="Arial" w:cs="Arial" w:eastAsia="Arial" w:hAnsi="Arial"/>
          <w:i/>
          <w:iCs/>
          <w:color w:val="808080"/>
          <w:sz w:val="18"/>
          <w:szCs w:val="18"/>
          <w:rtl/>
        </w:rPr>
        <w:t xml:space="preserve">ملاحظة: يُحدَّث الفهرس آلياً عند فتح الوثيقة في Microsoft Word (اضغط Ctrl+A ثم F9 لتحديث الحقول يدوياً عند الحاجة).</w:t>
      </w:r>
    </w:p>
    <w:p>
      <w:pPr>
        <w:spacing w:after="120"/>
      </w:pP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bidi/>
        <w:spacing w:after="120" w:before="360"/>
        <w:jc w:val="right"/>
      </w:pPr>
      <w:r>
        <w:rPr>
          <w:rFonts w:ascii="Arial" w:cs="Arial" w:eastAsia="Arial" w:hAnsi="Arial"/>
          <w:b/>
          <w:bCs/>
          <w:color w:val="1F3864"/>
          <w:sz w:val="30"/>
          <w:szCs w:val="30"/>
          <w:rtl/>
        </w:rPr>
        <w:t xml:space="preserve">2 · الملخص التنفيذي</w:t>
      </w:r>
    </w:p>
    <w:p>
      <w:pPr>
        <w:spacing w:after="160"/>
        <w:jc w:val="right"/>
      </w:pPr>
      <w:r>
        <w:rPr>
          <w:rFonts w:ascii="Arial" w:cs="Arial" w:eastAsia="Arial" w:hAnsi="Arial"/>
          <w:i/>
          <w:iCs/>
          <w:color w:val="2E5C8A"/>
          <w:sz w:val="18"/>
          <w:szCs w:val="18"/>
        </w:rPr>
        <w:t xml:space="preserve">Executive Summary</w:t>
      </w:r>
    </w:p>
    <w:p>
      <w:pPr>
        <w:bidi/>
        <w:spacing w:after="140" w:line="300"/>
        <w:jc w:val="both"/>
      </w:pPr>
      <w:r>
        <w:rPr>
          <w:rFonts w:ascii="Arial" w:cs="Arial" w:eastAsia="Arial" w:hAnsi="Arial"/>
          <w:sz w:val="21"/>
          <w:szCs w:val="21"/>
          <w:rtl/>
        </w:rPr>
        <w:t xml:space="preserve">تتولى شركة شمس الهيلان (SHH-01) تطوير وتشغيل مشروع ساحة التبادل التجاري في بغداد بصيغة امتياز مشترك مع الشركة العامة للنقل البري. وقد جرى بناء المحاسبة التاريخية للشركة منذ أيار 2023 داخل ملفات Excel بلغت درجة عالية من الانضباط: سجل قيود مزدوج متوازن، وشجرة حسابات معتمدة، وميزان مراجعة محسوب آلياً، ومنظومة أوراق رقابة وتدقيق جنائي تُظهر الفروقات بقيمتها الحقيقية بدلاً من إخفائها.</w:t>
      </w:r>
    </w:p>
    <w:p>
      <w:pPr>
        <w:bidi/>
        <w:spacing w:after="140" w:line="300"/>
        <w:jc w:val="both"/>
      </w:pPr>
      <w:r>
        <w:rPr>
          <w:rFonts w:ascii="Arial" w:cs="Arial" w:eastAsia="Arial" w:hAnsi="Arial"/>
          <w:sz w:val="21"/>
          <w:szCs w:val="21"/>
          <w:rtl/>
        </w:rPr>
        <w:t xml:space="preserve">غير أن الحد الذي بلغه النموذج الحالي هو حد الأداة نفسها. فملف Excel لا يمنع الحذف، ولا يفرض فصل المهام، ولا يقفل الفترات، ولا يحتفظ بأثر تدقيق لا يمكن العبث به، ولا يربط المستند الثبوتي بالقيد، ولا يمنع إعادة استخدام رقم قيد، ولا يستطيع أن يمنع — بحكم التصميم — إنشاء تقرير مالي منفصل يتباعد عن سجل القيود. الغرض من هذا المشروع هو نقل المنظومة إلى نظام محاسبي مُحكَم، لا إلى «جدول بيانات مرقمَن».</w:t>
      </w:r>
    </w:p>
    <w:p>
      <w:pPr>
        <w:spacing w:after="120"/>
      </w:pPr>
    </w:p>
    <w:p>
      <w:pPr>
        <w:pStyle w:val="Heading2"/>
        <w:bidi/>
        <w:spacing w:after="120" w:before="260"/>
        <w:jc w:val="right"/>
      </w:pPr>
      <w:r>
        <w:rPr>
          <w:rFonts w:ascii="Arial" w:cs="Arial" w:eastAsia="Arial" w:hAnsi="Arial"/>
          <w:b/>
          <w:bCs/>
          <w:color w:val="1F3864"/>
          <w:sz w:val="25"/>
          <w:szCs w:val="25"/>
          <w:rtl/>
        </w:rPr>
        <w:t xml:space="preserve">2-1 · الوضع المحاسبي القائم كما هو في المصدر المعتمد</w:t>
      </w:r>
    </w:p>
    <w:p>
      <w:pPr>
        <w:spacing w:after="160"/>
        <w:jc w:val="right"/>
      </w:pPr>
      <w:r>
        <w:rPr>
          <w:rFonts w:ascii="Arial" w:cs="Arial" w:eastAsia="Arial" w:hAnsi="Arial"/>
          <w:i/>
          <w:iCs/>
          <w:color w:val="2E5C8A"/>
          <w:sz w:val="18"/>
          <w:szCs w:val="18"/>
        </w:rPr>
        <w:t xml:space="preserve">The Position in the Authoritative Source</w:t>
      </w: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744"/>
        <w:gridCol w:w="5616"/>
      </w:tblGrid>
      <w:tr>
        <w:trPr>
          <w:tblHeader/>
        </w:trPr>
        <w:tc>
          <w:tcPr>
            <w:tcW w:type="dxa" w:w="3744"/>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المؤشر</w:t>
            </w:r>
          </w:p>
        </w:tc>
        <w:tc>
          <w:tcPr>
            <w:tcW w:type="dxa" w:w="5616"/>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القيمة كما في المصدر المعتمد</w:t>
            </w:r>
          </w:p>
        </w:tc>
      </w:tr>
      <w:tr>
        <w:tc>
          <w:tcPr>
            <w:tcW w:type="dxa" w:w="374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عدد القيود المحاسبية</w:t>
            </w:r>
          </w:p>
        </w:tc>
        <w:tc>
          <w:tcPr>
            <w:tcW w:type="dxa" w:w="561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1,195 قيداً (JV-0001 … JV-1268، مع 75 رقماً غير مستخدم)</w:t>
            </w:r>
          </w:p>
        </w:tc>
      </w:tr>
      <w:tr>
        <w:tc>
          <w:tcPr>
            <w:tcW w:type="dxa" w:w="374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إجمالي المدين = إجمالي الدائن</w:t>
            </w:r>
          </w:p>
        </w:tc>
        <w:tc>
          <w:tcPr>
            <w:tcW w:type="dxa" w:w="561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83,989,216,460 دينار</w:t>
            </w:r>
          </w:p>
        </w:tc>
      </w:tr>
      <w:tr>
        <w:tc>
          <w:tcPr>
            <w:tcW w:type="dxa" w:w="374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صافي الأرصدة المدينة = صافي الأرصدة الدائنة</w:t>
            </w:r>
          </w:p>
        </w:tc>
        <w:tc>
          <w:tcPr>
            <w:tcW w:type="dxa" w:w="561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38,150,397,980 دينار</w:t>
            </w:r>
          </w:p>
        </w:tc>
      </w:tr>
      <w:tr>
        <w:tc>
          <w:tcPr>
            <w:tcW w:type="dxa" w:w="374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عدد حسابات شجرة الحسابات</w:t>
            </w:r>
          </w:p>
        </w:tc>
        <w:tc>
          <w:tcPr>
            <w:tcW w:type="dxa" w:w="561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145 حساباً — منها 141 حساب تسجيل نشط، و2 حسابان غير تسجيل، و2 حسابان غير نشطين</w:t>
            </w:r>
          </w:p>
        </w:tc>
      </w:tr>
      <w:tr>
        <w:tc>
          <w:tcPr>
            <w:tcW w:type="dxa" w:w="374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الحسابات المستخدمة فعلياً في السجل</w:t>
            </w:r>
          </w:p>
        </w:tc>
        <w:tc>
          <w:tcPr>
            <w:tcW w:type="dxa" w:w="561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57 حساباً</w:t>
            </w:r>
          </w:p>
        </w:tc>
      </w:tr>
      <w:tr>
        <w:tc>
          <w:tcPr>
            <w:tcW w:type="dxa" w:w="374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القيود المؤرخة / غير المؤرخة</w:t>
            </w:r>
          </w:p>
        </w:tc>
        <w:tc>
          <w:tcPr>
            <w:tcW w:type="dxa" w:w="561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884 مؤرخ · 311 غير مؤرخ (لم يُختلق أي تاريخ)</w:t>
            </w:r>
          </w:p>
        </w:tc>
      </w:tr>
      <w:tr>
        <w:tc>
          <w:tcPr>
            <w:tcW w:type="dxa" w:w="374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المدى الزمني</w:t>
            </w:r>
          </w:p>
        </w:tc>
        <w:tc>
          <w:tcPr>
            <w:tcW w:type="dxa" w:w="561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2023-05-01 إلى 2026-08-18</w:t>
            </w:r>
          </w:p>
        </w:tc>
      </w:tr>
      <w:tr>
        <w:tc>
          <w:tcPr>
            <w:tcW w:type="dxa" w:w="374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إجمالي تمويل السيد محمد عبد الرضا عيدان الشمري</w:t>
            </w:r>
          </w:p>
        </w:tc>
        <w:tc>
          <w:tcPr>
            <w:tcW w:type="dxa" w:w="561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38,043,476,980 دينار (دائن 221001)</w:t>
            </w:r>
          </w:p>
        </w:tc>
      </w:tr>
      <w:tr>
        <w:tc>
          <w:tcPr>
            <w:tcW w:type="dxa" w:w="374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أصول الامتياز قيد الإنشاء</w:t>
            </w:r>
          </w:p>
        </w:tc>
        <w:tc>
          <w:tcPr>
            <w:tcW w:type="dxa" w:w="561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8,402,056,980 دينار</w:t>
            </w:r>
          </w:p>
        </w:tc>
      </w:tr>
      <w:tr>
        <w:tc>
          <w:tcPr>
            <w:tcW w:type="dxa" w:w="374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كلفة اقتناء أرض الموقع (115001)</w:t>
            </w:r>
          </w:p>
        </w:tc>
        <w:tc>
          <w:tcPr>
            <w:tcW w:type="dxa" w:w="561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3,050,000,000 دينار</w:t>
            </w:r>
          </w:p>
        </w:tc>
      </w:tr>
      <w:tr>
        <w:tc>
          <w:tcPr>
            <w:tcW w:type="dxa" w:w="374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حق الامتياز والتشغيل (117001)</w:t>
            </w:r>
          </w:p>
        </w:tc>
        <w:tc>
          <w:tcPr>
            <w:tcW w:type="dxa" w:w="561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3,200,000,000 دينار</w:t>
            </w:r>
          </w:p>
        </w:tc>
      </w:tr>
      <w:tr>
        <w:tc>
          <w:tcPr>
            <w:tcW w:type="dxa" w:w="374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سلف المقاولين (112020) — صافي</w:t>
            </w:r>
          </w:p>
        </w:tc>
        <w:tc>
          <w:tcPr>
            <w:tcW w:type="dxa" w:w="561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20,515,766,000 دينار، لم يُعترف بأي كلفة مقابلها بعد</w:t>
            </w:r>
          </w:p>
        </w:tc>
      </w:tr>
      <w:tr>
        <w:tc>
          <w:tcPr>
            <w:tcW w:type="dxa" w:w="374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دفعات مقدمة لاستحواذ حصة الراشدية (116001)</w:t>
            </w:r>
          </w:p>
        </w:tc>
        <w:tc>
          <w:tcPr>
            <w:tcW w:type="dxa" w:w="561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2,658,630,000 دينار</w:t>
            </w:r>
          </w:p>
        </w:tc>
      </w:tr>
      <w:tr>
        <w:tc>
          <w:tcPr>
            <w:tcW w:type="dxa" w:w="374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الفرق الرقابي المفتوح على الحساب 112035</w:t>
            </w:r>
          </w:p>
        </w:tc>
        <w:tc>
          <w:tcPr>
            <w:tcW w:type="dxa" w:w="561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99,796,000 دينار رصيد دائن — لم يُغلق ولم يُجبر على الصفر</w:t>
            </w:r>
          </w:p>
        </w:tc>
      </w:tr>
      <w:tr>
        <w:tc>
          <w:tcPr>
            <w:tcW w:type="dxa" w:w="374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قيمة الازدواج المحتمل المحفوظة داخل السجل</w:t>
            </w:r>
          </w:p>
        </w:tc>
        <w:tc>
          <w:tcPr>
            <w:tcW w:type="dxa" w:w="561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700,595,000 دينار — مؤشَّرة ولم يُحذف منها شيء</w:t>
            </w:r>
          </w:p>
        </w:tc>
      </w:tr>
      <w:tr>
        <w:tc>
          <w:tcPr>
            <w:tcW w:type="dxa" w:w="374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الإيرادات والحصة الحكومية</w:t>
            </w:r>
          </w:p>
        </w:tc>
        <w:tc>
          <w:tcPr>
            <w:tcW w:type="dxa" w:w="561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صفر — لم يُعترف بأي إيراد تشغيلي حتى تاريخه</w:t>
            </w:r>
          </w:p>
        </w:tc>
      </w:tr>
    </w:tbl>
    <w:p>
      <w:pPr>
        <w:spacing w:after="180"/>
      </w:pPr>
    </w:p>
    <w:p>
      <w:pPr>
        <w:bidi/>
        <w:spacing w:after="140" w:line="300"/>
        <w:jc w:val="both"/>
      </w:pPr>
      <w:r>
        <w:rPr>
          <w:rFonts w:ascii="Arial" w:cs="Arial" w:eastAsia="Arial" w:hAnsi="Arial"/>
          <w:b/>
          <w:bCs/>
          <w:sz w:val="21"/>
          <w:szCs w:val="21"/>
          <w:rtl/>
        </w:rPr>
        <w:t xml:space="preserve">هذه الأرقام هي نقطة البداية الإلزامية للنظام الجديد. ولا يُعتبر النظام مقبولاً ما لم تتطابق البيانات المُرحّلة معها حساباً بحساب وديناراً بدينار.</w:t>
      </w:r>
    </w:p>
    <w:p>
      <w:pPr>
        <w:spacing w:after="120"/>
      </w:pPr>
    </w:p>
    <w:p>
      <w:pPr>
        <w:pStyle w:val="Heading2"/>
        <w:bidi/>
        <w:spacing w:after="120" w:before="260"/>
        <w:jc w:val="right"/>
      </w:pPr>
      <w:r>
        <w:rPr>
          <w:rFonts w:ascii="Arial" w:cs="Arial" w:eastAsia="Arial" w:hAnsi="Arial"/>
          <w:b/>
          <w:bCs/>
          <w:color w:val="1F3864"/>
          <w:sz w:val="25"/>
          <w:szCs w:val="25"/>
          <w:rtl/>
        </w:rPr>
        <w:t xml:space="preserve">2-2 · ما يقدّمه النظام الجديد</w:t>
      </w:r>
    </w:p>
    <w:p>
      <w:pPr>
        <w:spacing w:after="160"/>
        <w:jc w:val="right"/>
      </w:pPr>
      <w:r>
        <w:rPr>
          <w:rFonts w:ascii="Arial" w:cs="Arial" w:eastAsia="Arial" w:hAnsi="Arial"/>
          <w:i/>
          <w:iCs/>
          <w:color w:val="2E5C8A"/>
          <w:sz w:val="18"/>
          <w:szCs w:val="18"/>
        </w:rPr>
        <w:t xml:space="preserve">What the System Delivers</w:t>
      </w:r>
    </w:p>
    <w:p>
      <w:pPr>
        <w:pStyle w:val="ListParagraph"/>
        <w:numPr>
          <w:ilvl w:val="0"/>
          <w:numId w:val="2"/>
        </w:numPr>
        <w:bidi/>
        <w:spacing w:after="90" w:line="290"/>
        <w:jc w:val="both"/>
      </w:pPr>
      <w:r>
        <w:rPr>
          <w:rFonts w:ascii="Arial" w:cs="Arial" w:eastAsia="Arial" w:hAnsi="Arial"/>
          <w:sz w:val="21"/>
          <w:szCs w:val="21"/>
          <w:rtl/>
        </w:rPr>
        <w:t xml:space="preserve">مصدر واحد للحقيقة: كل رقم يظهر في أي تقرير مشتق من سجل القيود، ولا يوجد رصيد مخزَّن يمكن أن يتباعد عنه.</w:t>
      </w:r>
    </w:p>
    <w:p>
      <w:pPr>
        <w:pStyle w:val="ListParagraph"/>
        <w:numPr>
          <w:ilvl w:val="0"/>
          <w:numId w:val="2"/>
        </w:numPr>
        <w:bidi/>
        <w:spacing w:after="90" w:line="290"/>
        <w:jc w:val="both"/>
      </w:pPr>
      <w:r>
        <w:rPr>
          <w:rFonts w:ascii="Arial" w:cs="Arial" w:eastAsia="Arial" w:hAnsi="Arial"/>
          <w:sz w:val="21"/>
          <w:szCs w:val="21"/>
          <w:rtl/>
        </w:rPr>
        <w:t xml:space="preserve">محرك ترحيل يفرض القواعد المحاسبية قبل الترحيل لا بعده: توازن المدين والدائن، وصلاحية الحساب، واكتمال الأبعاد، واتجاه تسوية السلف، وإقفال الفترات.</w:t>
      </w:r>
    </w:p>
    <w:p>
      <w:pPr>
        <w:pStyle w:val="ListParagraph"/>
        <w:numPr>
          <w:ilvl w:val="0"/>
          <w:numId w:val="2"/>
        </w:numPr>
        <w:bidi/>
        <w:spacing w:after="90" w:line="290"/>
        <w:jc w:val="both"/>
      </w:pPr>
      <w:r>
        <w:rPr>
          <w:rFonts w:ascii="Arial" w:cs="Arial" w:eastAsia="Arial" w:hAnsi="Arial"/>
          <w:sz w:val="21"/>
          <w:szCs w:val="21"/>
          <w:rtl/>
        </w:rPr>
        <w:t xml:space="preserve">منظومة رقابة كاملة: كشف الازدواجية، وسجل الاستثناءات، وسجل الفروقات المفتوحة، ورقابة سلسلة التمويل الثلاثية، ومطابقة النقد والمقاولين والسلف.</w:t>
      </w:r>
    </w:p>
    <w:p>
      <w:pPr>
        <w:pStyle w:val="ListParagraph"/>
        <w:numPr>
          <w:ilvl w:val="0"/>
          <w:numId w:val="2"/>
        </w:numPr>
        <w:bidi/>
        <w:spacing w:after="90" w:line="290"/>
        <w:jc w:val="both"/>
      </w:pPr>
      <w:r>
        <w:rPr>
          <w:rFonts w:ascii="Arial" w:cs="Arial" w:eastAsia="Arial" w:hAnsi="Arial"/>
          <w:sz w:val="21"/>
          <w:szCs w:val="21"/>
          <w:rtl/>
        </w:rPr>
        <w:t xml:space="preserve">أثر تدقيق غير قابل للتعديل يسجّل من فعل، ومتى، وما القيمة السابقة، وما القيمة الجديدة، ولماذا.</w:t>
      </w:r>
    </w:p>
    <w:p>
      <w:pPr>
        <w:pStyle w:val="ListParagraph"/>
        <w:numPr>
          <w:ilvl w:val="0"/>
          <w:numId w:val="2"/>
        </w:numPr>
        <w:bidi/>
        <w:spacing w:after="90" w:line="290"/>
        <w:jc w:val="both"/>
      </w:pPr>
      <w:r>
        <w:rPr>
          <w:rFonts w:ascii="Arial" w:cs="Arial" w:eastAsia="Arial" w:hAnsi="Arial"/>
          <w:sz w:val="21"/>
          <w:szCs w:val="21"/>
          <w:rtl/>
        </w:rPr>
        <w:t xml:space="preserve">محرك تقارير مالية مبني على خريطة ربط قابلة للتهيئة، بحيث لا يُكتب أي رقم في قائمة مالية داخل شيفرة البرنامج.</w:t>
      </w:r>
    </w:p>
    <w:p>
      <w:pPr>
        <w:pStyle w:val="ListParagraph"/>
        <w:numPr>
          <w:ilvl w:val="0"/>
          <w:numId w:val="2"/>
        </w:numPr>
        <w:bidi/>
        <w:spacing w:after="90" w:line="290"/>
        <w:jc w:val="both"/>
      </w:pPr>
      <w:r>
        <w:rPr>
          <w:rFonts w:ascii="Arial" w:cs="Arial" w:eastAsia="Arial" w:hAnsi="Arial"/>
          <w:sz w:val="21"/>
          <w:szCs w:val="21"/>
          <w:rtl/>
        </w:rPr>
        <w:t xml:space="preserve">واجهة عربية كاملة من اليمين إلى اليسار، بتنسيق الدينار العراقي بدون كسور، مع إمكانية التنقل التفصيلي من القائمة المالية حتى المستند الثبوتي.</w:t>
      </w:r>
    </w:p>
    <w:p>
      <w:r>
        <w:br w:type="page"/>
      </w:r>
    </w:p>
    <w:p>
      <w:pPr>
        <w:pStyle w:val="Heading1"/>
        <w:bidi/>
        <w:spacing w:after="120" w:before="360"/>
        <w:jc w:val="right"/>
      </w:pPr>
      <w:r>
        <w:rPr>
          <w:rFonts w:ascii="Arial" w:cs="Arial" w:eastAsia="Arial" w:hAnsi="Arial"/>
          <w:b/>
          <w:bCs/>
          <w:color w:val="1F3864"/>
          <w:sz w:val="30"/>
          <w:szCs w:val="30"/>
          <w:rtl/>
        </w:rPr>
        <w:t xml:space="preserve">3 · الأهداف</w:t>
      </w:r>
    </w:p>
    <w:p>
      <w:pPr>
        <w:spacing w:after="160"/>
        <w:jc w:val="right"/>
      </w:pPr>
      <w:r>
        <w:rPr>
          <w:rFonts w:ascii="Arial" w:cs="Arial" w:eastAsia="Arial" w:hAnsi="Arial"/>
          <w:i/>
          <w:iCs/>
          <w:color w:val="2E5C8A"/>
          <w:sz w:val="18"/>
          <w:szCs w:val="18"/>
        </w:rPr>
        <w:t xml:space="preserve">Objectives</w:t>
      </w: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123"/>
        <w:gridCol w:w="8237"/>
      </w:tblGrid>
      <w:tr>
        <w:trPr>
          <w:tblHeader/>
        </w:trPr>
        <w:tc>
          <w:tcPr>
            <w:tcW w:type="dxa" w:w="1123"/>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الرمز</w:t>
            </w:r>
          </w:p>
        </w:tc>
        <w:tc>
          <w:tcPr>
            <w:tcW w:type="dxa" w:w="8237"/>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الهدف</w:t>
            </w:r>
          </w:p>
        </w:tc>
      </w:tr>
      <w:tr>
        <w:tc>
          <w:tcPr>
            <w:tcW w:type="dxa" w:w="1123"/>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هـ-1</w:t>
            </w:r>
          </w:p>
        </w:tc>
        <w:tc>
          <w:tcPr>
            <w:tcW w:type="dxa" w:w="8237"/>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إنشاء مصدر محاسبي وحيد للحقيقة، تُشتق منه القوائم المالية والتقارير الإدارية جميعها دون استثناء.</w:t>
            </w:r>
          </w:p>
        </w:tc>
      </w:tr>
      <w:tr>
        <w:tc>
          <w:tcPr>
            <w:tcW w:type="dxa" w:w="1123"/>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هـ-2</w:t>
            </w:r>
          </w:p>
        </w:tc>
        <w:tc>
          <w:tcPr>
            <w:tcW w:type="dxa" w:w="8237"/>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حماية سلامة البيانات التاريخية: لا تغيير في تاريخ أو مبلغ أو بيان أو تصنيف أو استثناء عند الترحيل.</w:t>
            </w:r>
          </w:p>
        </w:tc>
      </w:tr>
      <w:tr>
        <w:tc>
          <w:tcPr>
            <w:tcW w:type="dxa" w:w="1123"/>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هـ-3</w:t>
            </w:r>
          </w:p>
        </w:tc>
        <w:tc>
          <w:tcPr>
            <w:tcW w:type="dxa" w:w="8237"/>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فرض الضوابط المحاسبية آلياً بدل الاعتماد على انضباط المُدخِل.</w:t>
            </w:r>
          </w:p>
        </w:tc>
      </w:tr>
      <w:tr>
        <w:tc>
          <w:tcPr>
            <w:tcW w:type="dxa" w:w="1123"/>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هـ-4</w:t>
            </w:r>
          </w:p>
        </w:tc>
        <w:tc>
          <w:tcPr>
            <w:tcW w:type="dxa" w:w="8237"/>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إظهار الفروقات والاستثناءات بقيمتها الحقيقية وإبقاؤها مرئية إلى حين حسمها بقرار موثّق.</w:t>
            </w:r>
          </w:p>
        </w:tc>
      </w:tr>
      <w:tr>
        <w:tc>
          <w:tcPr>
            <w:tcW w:type="dxa" w:w="1123"/>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هـ-5</w:t>
            </w:r>
          </w:p>
        </w:tc>
        <w:tc>
          <w:tcPr>
            <w:tcW w:type="dxa" w:w="8237"/>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فصل الحسابات المحاسبية عن الأبعاد التحليلية، ومتابعة المقاولين والموردين عبر أستاذ مساعد لا عبر مراكز تكلفة.</w:t>
            </w:r>
          </w:p>
        </w:tc>
      </w:tr>
      <w:tr>
        <w:tc>
          <w:tcPr>
            <w:tcW w:type="dxa" w:w="1123"/>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هـ-6</w:t>
            </w:r>
          </w:p>
        </w:tc>
        <w:tc>
          <w:tcPr>
            <w:tcW w:type="dxa" w:w="8237"/>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ضبط دورة السلف والعهد بحيث لا يُعترف بالكلفة إلا عند التسوية المستندية المعتمدة.</w:t>
            </w:r>
          </w:p>
        </w:tc>
      </w:tr>
      <w:tr>
        <w:tc>
          <w:tcPr>
            <w:tcW w:type="dxa" w:w="1123"/>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هـ-7</w:t>
            </w:r>
          </w:p>
        </w:tc>
        <w:tc>
          <w:tcPr>
            <w:tcW w:type="dxa" w:w="8237"/>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تهيئة النظام لمرحلة التشغيل التجاري: الإيراد، والحصة الحكومية 20٪، وتحويل الأصول قيد الإنشاء إلى حق الامتياز، والإطفاء.</w:t>
            </w:r>
          </w:p>
        </w:tc>
      </w:tr>
      <w:tr>
        <w:tc>
          <w:tcPr>
            <w:tcW w:type="dxa" w:w="1123"/>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هـ-8</w:t>
            </w:r>
          </w:p>
        </w:tc>
        <w:tc>
          <w:tcPr>
            <w:tcW w:type="dxa" w:w="8237"/>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توفير أثر تدقيق كامل وقابلية تدقيق النظام لاحقاً مقابل هذه الوثيقة المعتمدة.</w:t>
            </w:r>
          </w:p>
        </w:tc>
      </w:tr>
      <w:tr>
        <w:tc>
          <w:tcPr>
            <w:tcW w:type="dxa" w:w="1123"/>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هـ-9</w:t>
            </w:r>
          </w:p>
        </w:tc>
        <w:tc>
          <w:tcPr>
            <w:tcW w:type="dxa" w:w="8237"/>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تمكين الإدارة من قراءة الموقف المالي والتشغيلي عبر لوحة مؤشرات حية ذات غرض إداري وقابلية تنقل تفصيلي.</w:t>
            </w:r>
          </w:p>
        </w:tc>
      </w:tr>
      <w:tr>
        <w:tc>
          <w:tcPr>
            <w:tcW w:type="dxa" w:w="1123"/>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هـ-10</w:t>
            </w:r>
          </w:p>
        </w:tc>
        <w:tc>
          <w:tcPr>
            <w:tcW w:type="dxa" w:w="8237"/>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ضمان فصل المهام بحيث لا يملك مستخدم واحد صلاحية غير مضبوطة من طرف إلى طرف.</w:t>
            </w:r>
          </w:p>
        </w:tc>
      </w:tr>
    </w:tbl>
    <w:p>
      <w:r>
        <w:br w:type="page"/>
      </w:r>
    </w:p>
    <w:p>
      <w:pPr>
        <w:pStyle w:val="Heading1"/>
        <w:bidi/>
        <w:spacing w:after="120" w:before="360"/>
        <w:jc w:val="right"/>
      </w:pPr>
      <w:r>
        <w:rPr>
          <w:rFonts w:ascii="Arial" w:cs="Arial" w:eastAsia="Arial" w:hAnsi="Arial"/>
          <w:b/>
          <w:bCs/>
          <w:color w:val="1F3864"/>
          <w:sz w:val="30"/>
          <w:szCs w:val="30"/>
          <w:rtl/>
        </w:rPr>
        <w:t xml:space="preserve">4 · النطاق</w:t>
      </w:r>
    </w:p>
    <w:p>
      <w:pPr>
        <w:spacing w:after="160"/>
        <w:jc w:val="right"/>
      </w:pPr>
      <w:r>
        <w:rPr>
          <w:rFonts w:ascii="Arial" w:cs="Arial" w:eastAsia="Arial" w:hAnsi="Arial"/>
          <w:i/>
          <w:iCs/>
          <w:color w:val="2E5C8A"/>
          <w:sz w:val="18"/>
          <w:szCs w:val="18"/>
        </w:rPr>
        <w:t xml:space="preserve">Scope</w:t>
      </w:r>
    </w:p>
    <w:p>
      <w:pPr>
        <w:pStyle w:val="Heading2"/>
        <w:bidi/>
        <w:spacing w:after="120" w:before="260"/>
        <w:jc w:val="right"/>
      </w:pPr>
      <w:r>
        <w:rPr>
          <w:rFonts w:ascii="Arial" w:cs="Arial" w:eastAsia="Arial" w:hAnsi="Arial"/>
          <w:b/>
          <w:bCs/>
          <w:color w:val="1F3864"/>
          <w:sz w:val="25"/>
          <w:szCs w:val="25"/>
          <w:rtl/>
        </w:rPr>
        <w:t xml:space="preserve">4-1 · الكيان والأبعاد</w:t>
      </w:r>
    </w:p>
    <w:p>
      <w:pPr>
        <w:spacing w:after="160"/>
        <w:jc w:val="right"/>
      </w:pPr>
      <w:r>
        <w:rPr>
          <w:rFonts w:ascii="Arial" w:cs="Arial" w:eastAsia="Arial" w:hAnsi="Arial"/>
          <w:i/>
          <w:iCs/>
          <w:color w:val="2E5C8A"/>
          <w:sz w:val="18"/>
          <w:szCs w:val="18"/>
        </w:rPr>
        <w:t xml:space="preserve">Entity and Dimensions</w:t>
      </w:r>
    </w:p>
    <w:p>
      <w:pPr>
        <w:bidi/>
        <w:spacing w:after="140" w:line="300"/>
        <w:jc w:val="both"/>
      </w:pPr>
      <w:r>
        <w:rPr>
          <w:rFonts w:ascii="Arial" w:cs="Arial" w:eastAsia="Arial" w:hAnsi="Arial"/>
          <w:sz w:val="21"/>
          <w:szCs w:val="21"/>
          <w:rtl/>
        </w:rPr>
        <w:t xml:space="preserve">الكيان المحاسبي هو شركة شمس الهيلان (SHH-01) ككيان مستقل بشجرة حساباته ودفاتره وقوائمه وتقاريره، ولا يُدمج مع القوائم المالية لشركة عيدان. عملة التقرير هي الدينار العراقي بدون كسور، وتبدأ المحاسبة من أيار 2023 بإعادة بناء تاريخية ثم محاسبة شهرية مستمرة.</w:t>
      </w:r>
    </w:p>
    <w:p>
      <w:pPr>
        <w:spacing w:after="100"/>
      </w:pPr>
    </w:p>
    <w:p>
      <w:pPr>
        <w:bidi/>
        <w:spacing w:after="80" w:line="300"/>
        <w:jc w:val="both"/>
      </w:pPr>
      <w:r>
        <w:rPr>
          <w:rFonts w:ascii="Arial" w:cs="Arial" w:eastAsia="Arial" w:hAnsi="Arial"/>
          <w:b/>
          <w:bCs/>
          <w:sz w:val="21"/>
          <w:szCs w:val="21"/>
          <w:rtl/>
        </w:rPr>
        <w:t xml:space="preserve">المشاريع المعتمدة:</w:t>
      </w: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310"/>
        <w:gridCol w:w="5990"/>
        <w:gridCol w:w="2059"/>
      </w:tblGrid>
      <w:tr>
        <w:trPr>
          <w:tblHeader/>
        </w:trPr>
        <w:tc>
          <w:tcPr>
            <w:tcW w:type="dxa" w:w="1310"/>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الرمز</w:t>
            </w:r>
          </w:p>
        </w:tc>
        <w:tc>
          <w:tcPr>
            <w:tcW w:type="dxa" w:w="5990"/>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المشروع</w:t>
            </w:r>
          </w:p>
        </w:tc>
        <w:tc>
          <w:tcPr>
            <w:tcW w:type="dxa" w:w="2059"/>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النوع</w:t>
            </w:r>
          </w:p>
        </w:tc>
      </w:tr>
      <w:tr>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PRJ-01</w:t>
            </w:r>
          </w:p>
        </w:tc>
        <w:tc>
          <w:tcPr>
            <w:tcW w:type="dxa" w:w="5990"/>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ساحة التبادل التجاري – بغداد–بابل / بغداد–الأنبار</w:t>
            </w:r>
          </w:p>
        </w:tc>
        <w:tc>
          <w:tcPr>
            <w:tcW w:type="dxa" w:w="205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Trade Exchange Yard, Baghdad–Babylon / Baghdad–Anbar</w:t>
            </w:r>
          </w:p>
        </w:tc>
      </w:tr>
      <w:tr>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PRJ-02</w:t>
            </w:r>
          </w:p>
        </w:tc>
        <w:tc>
          <w:tcPr>
            <w:tcW w:type="dxa" w:w="5990"/>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ساحة التبادل التجاري – بغداد–كركوك / الراشدية</w:t>
            </w:r>
          </w:p>
        </w:tc>
        <w:tc>
          <w:tcPr>
            <w:tcW w:type="dxa" w:w="205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Trade Exchange Yard, Baghdad–Kirkuk / Al-Rashidiya</w:t>
            </w:r>
          </w:p>
        </w:tc>
      </w:tr>
      <w:tr>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PRJ-03</w:t>
            </w:r>
          </w:p>
        </w:tc>
        <w:tc>
          <w:tcPr>
            <w:tcW w:type="dxa" w:w="5990"/>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مشروع تطوير الـ100 دونم – ساحة التبادل</w:t>
            </w:r>
          </w:p>
        </w:tc>
        <w:tc>
          <w:tcPr>
            <w:tcW w:type="dxa" w:w="205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BEXY 100-Dunum Development</w:t>
            </w:r>
          </w:p>
        </w:tc>
      </w:tr>
      <w:tr>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CORP</w:t>
            </w:r>
          </w:p>
        </w:tc>
        <w:tc>
          <w:tcPr>
            <w:tcW w:type="dxa" w:w="5990"/>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الإدارة العامة – شركة شمس الهيلان</w:t>
            </w:r>
          </w:p>
        </w:tc>
        <w:tc>
          <w:tcPr>
            <w:tcW w:type="dxa" w:w="205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Shams Al-Haylan Corporate Administration</w:t>
            </w:r>
          </w:p>
        </w:tc>
      </w:tr>
    </w:tbl>
    <w:p>
      <w:pPr>
        <w:spacing w:after="140"/>
      </w:pPr>
    </w:p>
    <w:p>
      <w:pPr>
        <w:bidi/>
        <w:spacing w:after="80" w:line="300"/>
        <w:jc w:val="both"/>
      </w:pPr>
      <w:r>
        <w:rPr>
          <w:rFonts w:ascii="Arial" w:cs="Arial" w:eastAsia="Arial" w:hAnsi="Arial"/>
          <w:b/>
          <w:bCs/>
          <w:sz w:val="21"/>
          <w:szCs w:val="21"/>
          <w:rtl/>
        </w:rPr>
        <w:t xml:space="preserve">مراكز التكلفة المعتمدة (وظيفية، وليست موردين):</w:t>
      </w: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685"/>
        <w:gridCol w:w="5616"/>
        <w:gridCol w:w="2059"/>
      </w:tblGrid>
      <w:tr>
        <w:trPr>
          <w:tblHeader/>
        </w:trPr>
        <w:tc>
          <w:tcPr>
            <w:tcW w:type="dxa" w:w="1685"/>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الرمز</w:t>
            </w:r>
          </w:p>
        </w:tc>
        <w:tc>
          <w:tcPr>
            <w:tcW w:type="dxa" w:w="5616"/>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مركز التكلفة</w:t>
            </w:r>
          </w:p>
        </w:tc>
        <w:tc>
          <w:tcPr>
            <w:tcW w:type="dxa" w:w="2059"/>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التصنيف</w:t>
            </w:r>
          </w:p>
        </w:tc>
      </w:tr>
      <w:tr>
        <w:tc>
          <w:tcPr>
            <w:tcW w:type="dxa" w:w="168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CC-CORP</w:t>
            </w:r>
          </w:p>
        </w:tc>
        <w:tc>
          <w:tcPr>
            <w:tcW w:type="dxa" w:w="561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الإدارة العامة</w:t>
            </w:r>
          </w:p>
        </w:tc>
        <w:tc>
          <w:tcPr>
            <w:tcW w:type="dxa" w:w="205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Corporate Administration</w:t>
            </w:r>
          </w:p>
        </w:tc>
      </w:tr>
      <w:tr>
        <w:tc>
          <w:tcPr>
            <w:tcW w:type="dxa" w:w="168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CC-PM</w:t>
            </w:r>
          </w:p>
        </w:tc>
        <w:tc>
          <w:tcPr>
            <w:tcW w:type="dxa" w:w="561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إدارة المشاريع</w:t>
            </w:r>
          </w:p>
        </w:tc>
        <w:tc>
          <w:tcPr>
            <w:tcW w:type="dxa" w:w="205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Project Management</w:t>
            </w:r>
          </w:p>
        </w:tc>
      </w:tr>
      <w:tr>
        <w:tc>
          <w:tcPr>
            <w:tcW w:type="dxa" w:w="168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CC-ROAD-EXT</w:t>
            </w:r>
          </w:p>
        </w:tc>
        <w:tc>
          <w:tcPr>
            <w:tcW w:type="dxa" w:w="561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الطرق الخارجية</w:t>
            </w:r>
          </w:p>
        </w:tc>
        <w:tc>
          <w:tcPr>
            <w:tcW w:type="dxa" w:w="205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External Roads</w:t>
            </w:r>
          </w:p>
        </w:tc>
      </w:tr>
      <w:tr>
        <w:tc>
          <w:tcPr>
            <w:tcW w:type="dxa" w:w="168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CC-ROAD-INT</w:t>
            </w:r>
          </w:p>
        </w:tc>
        <w:tc>
          <w:tcPr>
            <w:tcW w:type="dxa" w:w="561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الطرق الداخلية والساحات</w:t>
            </w:r>
          </w:p>
        </w:tc>
        <w:tc>
          <w:tcPr>
            <w:tcW w:type="dxa" w:w="205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Internal Roads &amp; Yards</w:t>
            </w:r>
          </w:p>
        </w:tc>
      </w:tr>
      <w:tr>
        <w:tc>
          <w:tcPr>
            <w:tcW w:type="dxa" w:w="168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CC-CIVIL</w:t>
            </w:r>
          </w:p>
        </w:tc>
        <w:tc>
          <w:tcPr>
            <w:tcW w:type="dxa" w:w="561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الأعمال المدنية</w:t>
            </w:r>
          </w:p>
        </w:tc>
        <w:tc>
          <w:tcPr>
            <w:tcW w:type="dxa" w:w="205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Civil Works</w:t>
            </w:r>
          </w:p>
        </w:tc>
      </w:tr>
      <w:tr>
        <w:tc>
          <w:tcPr>
            <w:tcW w:type="dxa" w:w="168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CC-BLDG</w:t>
            </w:r>
          </w:p>
        </w:tc>
        <w:tc>
          <w:tcPr>
            <w:tcW w:type="dxa" w:w="561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المباني والمرافق</w:t>
            </w:r>
          </w:p>
        </w:tc>
        <w:tc>
          <w:tcPr>
            <w:tcW w:type="dxa" w:w="205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Buildings &amp; Facilities</w:t>
            </w:r>
          </w:p>
        </w:tc>
      </w:tr>
      <w:tr>
        <w:tc>
          <w:tcPr>
            <w:tcW w:type="dxa" w:w="168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CC-EM</w:t>
            </w:r>
          </w:p>
        </w:tc>
        <w:tc>
          <w:tcPr>
            <w:tcW w:type="dxa" w:w="561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الكهربائية والميكانيكية</w:t>
            </w:r>
          </w:p>
        </w:tc>
        <w:tc>
          <w:tcPr>
            <w:tcW w:type="dxa" w:w="205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Electrical &amp; Mechanical</w:t>
            </w:r>
          </w:p>
        </w:tc>
      </w:tr>
      <w:tr>
        <w:tc>
          <w:tcPr>
            <w:tcW w:type="dxa" w:w="168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CC-FIBER</w:t>
            </w:r>
          </w:p>
        </w:tc>
        <w:tc>
          <w:tcPr>
            <w:tcW w:type="dxa" w:w="561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الألياف والأنظمة الإلكترونية</w:t>
            </w:r>
          </w:p>
        </w:tc>
        <w:tc>
          <w:tcPr>
            <w:tcW w:type="dxa" w:w="205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Fiber &amp; Electronic Systems</w:t>
            </w:r>
          </w:p>
        </w:tc>
      </w:tr>
      <w:tr>
        <w:tc>
          <w:tcPr>
            <w:tcW w:type="dxa" w:w="168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CC-SEC</w:t>
            </w:r>
          </w:p>
        </w:tc>
        <w:tc>
          <w:tcPr>
            <w:tcW w:type="dxa" w:w="561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الأمن والسلامة</w:t>
            </w:r>
          </w:p>
        </w:tc>
        <w:tc>
          <w:tcPr>
            <w:tcW w:type="dxa" w:w="205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Security &amp; Safety</w:t>
            </w:r>
          </w:p>
        </w:tc>
      </w:tr>
      <w:tr>
        <w:tc>
          <w:tcPr>
            <w:tcW w:type="dxa" w:w="168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CC-EQUIP</w:t>
            </w:r>
          </w:p>
        </w:tc>
        <w:tc>
          <w:tcPr>
            <w:tcW w:type="dxa" w:w="561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المعدات والمكائن</w:t>
            </w:r>
          </w:p>
        </w:tc>
        <w:tc>
          <w:tcPr>
            <w:tcW w:type="dxa" w:w="205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Equipment &amp; Machinery</w:t>
            </w:r>
          </w:p>
        </w:tc>
      </w:tr>
      <w:tr>
        <w:tc>
          <w:tcPr>
            <w:tcW w:type="dxa" w:w="168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CC-ENG</w:t>
            </w:r>
          </w:p>
        </w:tc>
        <w:tc>
          <w:tcPr>
            <w:tcW w:type="dxa" w:w="561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الهندسة والاستشارات</w:t>
            </w:r>
          </w:p>
        </w:tc>
        <w:tc>
          <w:tcPr>
            <w:tcW w:type="dxa" w:w="205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Engineering &amp; Consulting</w:t>
            </w:r>
          </w:p>
        </w:tc>
      </w:tr>
      <w:tr>
        <w:tc>
          <w:tcPr>
            <w:tcW w:type="dxa" w:w="168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CC-GOV</w:t>
            </w:r>
          </w:p>
        </w:tc>
        <w:tc>
          <w:tcPr>
            <w:tcW w:type="dxa" w:w="561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الموافقات والتراخيص الحكومية</w:t>
            </w:r>
          </w:p>
        </w:tc>
        <w:tc>
          <w:tcPr>
            <w:tcW w:type="dxa" w:w="205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Government Approvals &amp; Licensing</w:t>
            </w:r>
          </w:p>
        </w:tc>
      </w:tr>
      <w:tr>
        <w:tc>
          <w:tcPr>
            <w:tcW w:type="dxa" w:w="168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CC-HR</w:t>
            </w:r>
          </w:p>
        </w:tc>
        <w:tc>
          <w:tcPr>
            <w:tcW w:type="dxa" w:w="561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الموارد البشرية</w:t>
            </w:r>
          </w:p>
        </w:tc>
        <w:tc>
          <w:tcPr>
            <w:tcW w:type="dxa" w:w="205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Human Resources</w:t>
            </w:r>
          </w:p>
        </w:tc>
      </w:tr>
      <w:tr>
        <w:tc>
          <w:tcPr>
            <w:tcW w:type="dxa" w:w="168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CC-FIN</w:t>
            </w:r>
          </w:p>
        </w:tc>
        <w:tc>
          <w:tcPr>
            <w:tcW w:type="dxa" w:w="561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المالية والمحاسبة</w:t>
            </w:r>
          </w:p>
        </w:tc>
        <w:tc>
          <w:tcPr>
            <w:tcW w:type="dxa" w:w="205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Finance &amp; Accounting</w:t>
            </w:r>
          </w:p>
        </w:tc>
      </w:tr>
      <w:tr>
        <w:tc>
          <w:tcPr>
            <w:tcW w:type="dxa" w:w="168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CC-PROC</w:t>
            </w:r>
          </w:p>
        </w:tc>
        <w:tc>
          <w:tcPr>
            <w:tcW w:type="dxa" w:w="561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المشتريات</w:t>
            </w:r>
          </w:p>
        </w:tc>
        <w:tc>
          <w:tcPr>
            <w:tcW w:type="dxa" w:w="205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Procurement</w:t>
            </w:r>
          </w:p>
        </w:tc>
      </w:tr>
      <w:tr>
        <w:tc>
          <w:tcPr>
            <w:tcW w:type="dxa" w:w="168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CC-PR</w:t>
            </w:r>
          </w:p>
        </w:tc>
        <w:tc>
          <w:tcPr>
            <w:tcW w:type="dxa" w:w="561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العلاقات العامة</w:t>
            </w:r>
          </w:p>
        </w:tc>
        <w:tc>
          <w:tcPr>
            <w:tcW w:type="dxa" w:w="205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Public Relations</w:t>
            </w:r>
          </w:p>
        </w:tc>
      </w:tr>
      <w:tr>
        <w:tc>
          <w:tcPr>
            <w:tcW w:type="dxa" w:w="168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CC-SHARED</w:t>
            </w:r>
          </w:p>
        </w:tc>
        <w:tc>
          <w:tcPr>
            <w:tcW w:type="dxa" w:w="561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خدمات إدارية مشتركة</w:t>
            </w:r>
          </w:p>
        </w:tc>
        <w:tc>
          <w:tcPr>
            <w:tcW w:type="dxa" w:w="205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Shared Administrative Services</w:t>
            </w:r>
          </w:p>
        </w:tc>
      </w:tr>
      <w:tr>
        <w:tc>
          <w:tcPr>
            <w:tcW w:type="dxa" w:w="168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CC-OPS</w:t>
            </w:r>
          </w:p>
        </w:tc>
        <w:tc>
          <w:tcPr>
            <w:tcW w:type="dxa" w:w="561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العمليات بعد الافتتاح</w:t>
            </w:r>
          </w:p>
        </w:tc>
        <w:tc>
          <w:tcPr>
            <w:tcW w:type="dxa" w:w="205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Operations after Opening</w:t>
            </w:r>
          </w:p>
        </w:tc>
      </w:tr>
      <w:tr>
        <w:tc>
          <w:tcPr>
            <w:tcW w:type="dxa" w:w="168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CC-100D</w:t>
            </w:r>
          </w:p>
        </w:tc>
        <w:tc>
          <w:tcPr>
            <w:tcW w:type="dxa" w:w="561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تطوير الـ100 دونم</w:t>
            </w:r>
          </w:p>
        </w:tc>
        <w:tc>
          <w:tcPr>
            <w:tcW w:type="dxa" w:w="205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100-Dunum Development</w:t>
            </w:r>
          </w:p>
        </w:tc>
      </w:tr>
    </w:tbl>
    <w:p>
      <w:pPr>
        <w:spacing w:after="140"/>
      </w:pPr>
    </w:p>
    <w:p>
      <w:pPr>
        <w:bidi/>
        <w:spacing w:after="80" w:line="300"/>
        <w:jc w:val="both"/>
      </w:pPr>
      <w:r>
        <w:rPr>
          <w:rFonts w:ascii="Arial" w:cs="Arial" w:eastAsia="Arial" w:hAnsi="Arial"/>
          <w:b/>
          <w:bCs/>
          <w:sz w:val="21"/>
          <w:szCs w:val="21"/>
          <w:rtl/>
        </w:rPr>
        <w:t xml:space="preserve">مراكز المسؤولية:</w:t>
      </w: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310"/>
        <w:gridCol w:w="4680"/>
        <w:gridCol w:w="3370"/>
      </w:tblGrid>
      <w:tr>
        <w:trPr>
          <w:tblHeader/>
        </w:trPr>
        <w:tc>
          <w:tcPr>
            <w:tcW w:type="dxa" w:w="1310"/>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الرمز</w:t>
            </w:r>
          </w:p>
        </w:tc>
        <w:tc>
          <w:tcPr>
            <w:tcW w:type="dxa" w:w="4680"/>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مركز المسؤولية</w:t>
            </w:r>
          </w:p>
        </w:tc>
        <w:tc>
          <w:tcPr>
            <w:tcW w:type="dxa" w:w="3370"/>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حسابات السلف المرتبطة</w:t>
            </w:r>
          </w:p>
        </w:tc>
      </w:tr>
      <w:tr>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RC-01</w:t>
            </w:r>
          </w:p>
        </w:tc>
        <w:tc>
          <w:tcPr>
            <w:tcW w:type="dxa" w:w="4680"/>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مركز مسؤولية عبد الحميد هيلان حوشي (أبو سجاد)</w:t>
            </w:r>
          </w:p>
        </w:tc>
        <w:tc>
          <w:tcPr>
            <w:tcW w:type="dxa" w:w="337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112030 · 112031 · 112032</w:t>
            </w:r>
          </w:p>
        </w:tc>
      </w:tr>
      <w:tr>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RC-02</w:t>
            </w:r>
          </w:p>
        </w:tc>
        <w:tc>
          <w:tcPr>
            <w:tcW w:type="dxa" w:w="4680"/>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مركز مسؤولية ياس جاسم مسلم (أبو أحمد)</w:t>
            </w:r>
          </w:p>
        </w:tc>
        <w:tc>
          <w:tcPr>
            <w:tcW w:type="dxa" w:w="337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112035 · 112036 · 112037</w:t>
            </w:r>
          </w:p>
        </w:tc>
      </w:tr>
      <w:tr>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RC-CORP</w:t>
            </w:r>
          </w:p>
        </w:tc>
        <w:tc>
          <w:tcPr>
            <w:tcW w:type="dxa" w:w="4680"/>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مركز المسؤولية الإداري / المركزي</w:t>
            </w:r>
          </w:p>
        </w:tc>
        <w:tc>
          <w:tcPr>
            <w:tcW w:type="dxa" w:w="337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w:t>
            </w:r>
          </w:p>
        </w:tc>
      </w:tr>
    </w:tbl>
    <w:p>
      <w:pPr>
        <w:spacing w:after="160"/>
      </w:pPr>
    </w:p>
    <w:p>
      <w:pPr>
        <w:pStyle w:val="Heading2"/>
        <w:bidi/>
        <w:spacing w:after="120" w:before="260"/>
        <w:jc w:val="right"/>
      </w:pPr>
      <w:r>
        <w:rPr>
          <w:rFonts w:ascii="Arial" w:cs="Arial" w:eastAsia="Arial" w:hAnsi="Arial"/>
          <w:b/>
          <w:bCs/>
          <w:color w:val="1F3864"/>
          <w:sz w:val="25"/>
          <w:szCs w:val="25"/>
          <w:rtl/>
        </w:rPr>
        <w:t xml:space="preserve">4-2 · خارج النطاق في المرحلة الأولى</w:t>
      </w:r>
    </w:p>
    <w:p>
      <w:pPr>
        <w:spacing w:after="160"/>
        <w:jc w:val="right"/>
      </w:pPr>
      <w:r>
        <w:rPr>
          <w:rFonts w:ascii="Arial" w:cs="Arial" w:eastAsia="Arial" w:hAnsi="Arial"/>
          <w:i/>
          <w:iCs/>
          <w:color w:val="2E5C8A"/>
          <w:sz w:val="18"/>
          <w:szCs w:val="18"/>
        </w:rPr>
        <w:t xml:space="preserve">Out of Scope for Phase 1</w:t>
      </w:r>
    </w:p>
    <w:p>
      <w:pPr>
        <w:bidi/>
        <w:spacing w:after="140" w:line="300"/>
        <w:jc w:val="both"/>
      </w:pPr>
      <w:r>
        <w:rPr>
          <w:rFonts w:ascii="Arial" w:cs="Arial" w:eastAsia="Arial" w:hAnsi="Arial"/>
          <w:sz w:val="21"/>
          <w:szCs w:val="21"/>
          <w:rtl/>
        </w:rPr>
        <w:t xml:space="preserve">تُؤجَّل إلى المرحلة الثانية الوظائف التالية كي لا يتضخم البناء الأولي: سجل العقود الكامل بالملاحق وأوامر التغيير، والقائمة النظامية للتدفقات النقدية وقائمة التغيرات في حقوق الملكية، والمقارنات مع الفترات السابقة، وسجل الأصول الثابتة التفصيلي بجداول الإهلاك، والموازنات والارتباطات، واستيراد كشوف المصارف آلياً، وتطبيق الاعتماد عبر الهاتف، والربط مع نظام تشغيل الساحة، والتوحيد بين الكيانات.</w:t>
      </w:r>
    </w:p>
    <w:p>
      <w:r>
        <w:br w:type="page"/>
      </w:r>
    </w:p>
    <w:p>
      <w:pPr>
        <w:pStyle w:val="Heading1"/>
        <w:bidi/>
        <w:spacing w:after="120" w:before="360"/>
        <w:jc w:val="right"/>
      </w:pPr>
      <w:r>
        <w:rPr>
          <w:rFonts w:ascii="Arial" w:cs="Arial" w:eastAsia="Arial" w:hAnsi="Arial"/>
          <w:b/>
          <w:bCs/>
          <w:color w:val="1F3864"/>
          <w:sz w:val="30"/>
          <w:szCs w:val="30"/>
          <w:rtl/>
        </w:rPr>
        <w:t xml:space="preserve">5 · المبادئ والسياسات المحاسبية</w:t>
      </w:r>
    </w:p>
    <w:p>
      <w:pPr>
        <w:spacing w:after="160"/>
        <w:jc w:val="right"/>
      </w:pPr>
      <w:r>
        <w:rPr>
          <w:rFonts w:ascii="Arial" w:cs="Arial" w:eastAsia="Arial" w:hAnsi="Arial"/>
          <w:i/>
          <w:iCs/>
          <w:color w:val="2E5C8A"/>
          <w:sz w:val="18"/>
          <w:szCs w:val="18"/>
        </w:rPr>
        <w:t xml:space="preserve">Accounting Principles &amp; Policies</w:t>
      </w: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749"/>
        <w:gridCol w:w="2059"/>
        <w:gridCol w:w="6552"/>
      </w:tblGrid>
      <w:tr>
        <w:trPr>
          <w:tblHeader/>
        </w:trPr>
        <w:tc>
          <w:tcPr>
            <w:tcW w:type="dxa" w:w="749"/>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الرمز</w:t>
            </w:r>
          </w:p>
        </w:tc>
        <w:tc>
          <w:tcPr>
            <w:tcW w:type="dxa" w:w="2059"/>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السياسة</w:t>
            </w:r>
          </w:p>
        </w:tc>
        <w:tc>
          <w:tcPr>
            <w:tcW w:type="dxa" w:w="6552"/>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النص المعتمد</w:t>
            </w:r>
          </w:p>
        </w:tc>
      </w:tr>
      <w:tr>
        <w:tc>
          <w:tcPr>
            <w:tcW w:type="dxa" w:w="74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س-1</w:t>
            </w:r>
          </w:p>
        </w:tc>
        <w:tc>
          <w:tcPr>
            <w:tcW w:type="dxa" w:w="205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الاستقلال المحاسبي</w:t>
            </w:r>
          </w:p>
        </w:tc>
        <w:tc>
          <w:tcPr>
            <w:tcW w:type="dxa" w:w="655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شمس الهيلان كيان محاسبي مستقل بشجرة حسابات ودفاتر وقوائم وتقارير خاصة به، ولا يُدمج مع القوائم المالية لشركة عيدان.</w:t>
            </w:r>
          </w:p>
        </w:tc>
      </w:tr>
      <w:tr>
        <w:tc>
          <w:tcPr>
            <w:tcW w:type="dxa" w:w="74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س-2</w:t>
            </w:r>
          </w:p>
        </w:tc>
        <w:tc>
          <w:tcPr>
            <w:tcW w:type="dxa" w:w="205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المشاريع</w:t>
            </w:r>
          </w:p>
        </w:tc>
        <w:tc>
          <w:tcPr>
            <w:tcW w:type="dxa" w:w="655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ثلاثة مشاريع معتمدة: PRJ-01 (اليوسفية — بغداد–بابل / بغداد–الأنبار كمشروع واحد مدمج)، وPRJ-02 (الراشدية — بغداد–كركوك)، وPRJ-03 (تطوير الـ100 دونم)، إضافة إلى المركز الإداري CORP. يدعم النظام التقرير على مستوى المشروع والمستوى الإداري والمستوى الموحّد.</w:t>
            </w:r>
          </w:p>
        </w:tc>
      </w:tr>
      <w:tr>
        <w:tc>
          <w:tcPr>
            <w:tcW w:type="dxa" w:w="74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س-3</w:t>
            </w:r>
          </w:p>
        </w:tc>
        <w:tc>
          <w:tcPr>
            <w:tcW w:type="dxa" w:w="205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العقد الحكومي</w:t>
            </w:r>
          </w:p>
        </w:tc>
        <w:tc>
          <w:tcPr>
            <w:tcW w:type="dxa" w:w="655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الطرف المتعاقد: الشركة العامة للنقل البري. حصتها 20٪ من الإيراد المؤهل. المدة الابتدائية عشر سنوات، ولا يُدرج التمديد في الإطفاء ما لم يكن نافذاً قانوناً ومؤكداً بدرجة معقولة.</w:t>
            </w:r>
          </w:p>
        </w:tc>
      </w:tr>
      <w:tr>
        <w:tc>
          <w:tcPr>
            <w:tcW w:type="dxa" w:w="74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س-4</w:t>
            </w:r>
          </w:p>
        </w:tc>
        <w:tc>
          <w:tcPr>
            <w:tcW w:type="dxa" w:w="205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الأرض</w:t>
            </w:r>
          </w:p>
        </w:tc>
        <w:tc>
          <w:tcPr>
            <w:tcW w:type="dxa" w:w="655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أرض الموقع مملوكة قانوناً للدولة وممولة من الشركة والمساهمين، وتُدرج ضمن أصول الامتياز قيد الإنشاء في حساب «كلفة اقتناء أرض موقع المشروع المملوك للدولة»، وليست ملكاً حراً للشركة. الرصيد المُثبت في السجل المعتمد هو 3,050,000,000 دينار.</w:t>
            </w:r>
          </w:p>
        </w:tc>
      </w:tr>
      <w:tr>
        <w:tc>
          <w:tcPr>
            <w:tcW w:type="dxa" w:w="74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س-5</w:t>
            </w:r>
          </w:p>
        </w:tc>
        <w:tc>
          <w:tcPr>
            <w:tcW w:type="dxa" w:w="205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حق الامتياز والإطفاء</w:t>
            </w:r>
          </w:p>
        </w:tc>
        <w:tc>
          <w:tcPr>
            <w:tcW w:type="dxa" w:w="655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عند التشغيل التجاري تُحوَّل الكلف المؤهلة من قيد الإنشاء إلى «حق الامتياز والتشغيل» ويبدأ الإطفاء على المدة المتبقية للعقد، ابتداءً من تاريخ التشغيل التجاري حصراً ولا يبدأ أثناء الإنشاء. تاريخ التشغيل التجاري غير محدد حتى الآن، ولا يجوز للنظام افتراضه أو استنتاجه.</w:t>
            </w:r>
          </w:p>
        </w:tc>
      </w:tr>
      <w:tr>
        <w:tc>
          <w:tcPr>
            <w:tcW w:type="dxa" w:w="74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س-6</w:t>
            </w:r>
          </w:p>
        </w:tc>
        <w:tc>
          <w:tcPr>
            <w:tcW w:type="dxa" w:w="205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تسليم الأصول</w:t>
            </w:r>
          </w:p>
        </w:tc>
        <w:tc>
          <w:tcPr>
            <w:tcW w:type="dxa" w:w="655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يُصنَّف كل أصل ضمن: مملوك للدولة ومسجّل باسمها · واجب التسليم عند انتهاء العقد · محتفظ به لدى الشركة · قيد التصنيف. تتراكم أصول التسليم ضمن قيد الإنشاء، وتُدرج الأصول المنقولة المحتفظ بها ضمن الأصول الثابتة.</w:t>
            </w:r>
          </w:p>
        </w:tc>
      </w:tr>
      <w:tr>
        <w:tc>
          <w:tcPr>
            <w:tcW w:type="dxa" w:w="74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س-7</w:t>
            </w:r>
          </w:p>
        </w:tc>
        <w:tc>
          <w:tcPr>
            <w:tcW w:type="dxa" w:w="205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المساهمون</w:t>
            </w:r>
          </w:p>
        </w:tc>
        <w:tc>
          <w:tcPr>
            <w:tcW w:type="dxa" w:w="655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أربعة مساهمين، لكل منهم رأس مال مسجل وقرض مساهم وحساب جارٍ ومساهمات قيد التسجيل. يتبع التصنيف المستندات لا الافتراض.</w:t>
            </w:r>
          </w:p>
        </w:tc>
      </w:tr>
      <w:tr>
        <w:tc>
          <w:tcPr>
            <w:tcW w:type="dxa" w:w="74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س-8</w:t>
            </w:r>
          </w:p>
        </w:tc>
        <w:tc>
          <w:tcPr>
            <w:tcW w:type="dxa" w:w="205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نسبة التمويل</w:t>
            </w:r>
          </w:p>
        </w:tc>
        <w:tc>
          <w:tcPr>
            <w:tcW w:type="dxa" w:w="655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تُعرض الأموال المدفوعة من شركة عيدان لحساب شمس الهيلان باعتبارها قرض مساهم للسيد محمد الشمري، ولا تظهر شركة عيدان ممولاً مباشراً في تقارير المشروع. حقل «مصدر الدفع الفعلي» حقل تدقيقي فقط ولا يدخل في أي قاعدة ترحيل.</w:t>
            </w:r>
          </w:p>
        </w:tc>
      </w:tr>
      <w:tr>
        <w:tc>
          <w:tcPr>
            <w:tcW w:type="dxa" w:w="74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س-9</w:t>
            </w:r>
          </w:p>
        </w:tc>
        <w:tc>
          <w:tcPr>
            <w:tcW w:type="dxa" w:w="205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قيد التمويل الاعتيادي</w:t>
            </w:r>
          </w:p>
        </w:tc>
        <w:tc>
          <w:tcPr>
            <w:tcW w:type="dxa" w:w="655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عند استلام النقد: من ح/ النقد أو المصرف أو الخزنة، إلى ح/ قرض المساهم. وعند الإنفاق: من ح/ الأصل أو السلفة أو المصروف، إلى ح/ النقد. يُسجَّل الاستلام والاستخدام كحركتين منفصلتين متى دخل النقد إلى الشركة.</w:t>
            </w:r>
          </w:p>
        </w:tc>
      </w:tr>
      <w:tr>
        <w:tc>
          <w:tcPr>
            <w:tcW w:type="dxa" w:w="74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س-10</w:t>
            </w:r>
          </w:p>
        </w:tc>
        <w:tc>
          <w:tcPr>
            <w:tcW w:type="dxa" w:w="205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الدفع المباشر</w:t>
            </w:r>
          </w:p>
        </w:tc>
        <w:tc>
          <w:tcPr>
            <w:tcW w:type="dxa" w:w="655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عند دفع الممول مباشرة إلى المورد: من ح/ الأصل أو السلفة أو المصروف، إلى ح/ قرض المساهم، مع بيان يحدد مصدر الدفع الفعلي وأن المبلغ معترف به كتمويل من المساهم. لا يجوز أن تمس هذه الحركة أي حساب نقدي.</w:t>
            </w:r>
          </w:p>
        </w:tc>
      </w:tr>
      <w:tr>
        <w:tc>
          <w:tcPr>
            <w:tcW w:type="dxa" w:w="74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س-11</w:t>
            </w:r>
          </w:p>
        </w:tc>
        <w:tc>
          <w:tcPr>
            <w:tcW w:type="dxa" w:w="205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التمويل ليس إيراداً</w:t>
            </w:r>
          </w:p>
        </w:tc>
        <w:tc>
          <w:tcPr>
            <w:tcW w:type="dxa" w:w="655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تمويل المساهمين ليس إيراداً بأي حال. وإنفاق الأموال لا يخفّض قرض المساهم. ولا ينخفض القرض إلا بالسداد أو التحويل الرسمي إلى رأس المال أو تسوية موثّقة ومعتمدة.</w:t>
            </w:r>
          </w:p>
        </w:tc>
      </w:tr>
      <w:tr>
        <w:tc>
          <w:tcPr>
            <w:tcW w:type="dxa" w:w="74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س-12</w:t>
            </w:r>
          </w:p>
        </w:tc>
        <w:tc>
          <w:tcPr>
            <w:tcW w:type="dxa" w:w="205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الأشخاص المسؤولون والسلف</w:t>
            </w:r>
          </w:p>
        </w:tc>
        <w:tc>
          <w:tcPr>
            <w:tcW w:type="dxa" w:w="655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عبد الحميد هيلان حوشي (RC-01) وياس جاسم مسلم (RC-02) أصحاب عهد وليسوا بالضرورة مساهمين. تُقيَّد السلفة مدينة عند الصرف وتُسوّى إلى نفقة رأسمالية أو تشغيلية بمستندات معتمدة، ولا تُعتبر مصروفاً عند الدفع.</w:t>
            </w:r>
          </w:p>
        </w:tc>
      </w:tr>
      <w:tr>
        <w:tc>
          <w:tcPr>
            <w:tcW w:type="dxa" w:w="74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س-13</w:t>
            </w:r>
          </w:p>
        </w:tc>
        <w:tc>
          <w:tcPr>
            <w:tcW w:type="dxa" w:w="205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المقاولون والموردون</w:t>
            </w:r>
          </w:p>
        </w:tc>
        <w:tc>
          <w:tcPr>
            <w:tcW w:type="dxa" w:w="655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يُتابَعون عبر أستاذ مساعد وليس كمراكز تكلفة: قيمة العقد والملاحق وأوامر التغيير والأعمال المصدّقة والفواتير والسلف واستقطاعاتها والمحتجزات والاستقطاعات والغرامات والضرائب والمدفوع والمستحق والالتزام المتبقي.</w:t>
            </w:r>
          </w:p>
        </w:tc>
      </w:tr>
      <w:tr>
        <w:tc>
          <w:tcPr>
            <w:tcW w:type="dxa" w:w="74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س-14</w:t>
            </w:r>
          </w:p>
        </w:tc>
        <w:tc>
          <w:tcPr>
            <w:tcW w:type="dxa" w:w="205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الإيراد وحصة الحكومة</w:t>
            </w:r>
          </w:p>
        </w:tc>
        <w:tc>
          <w:tcPr>
            <w:tcW w:type="dxa" w:w="655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يُسجَّل الإيراد حسب نوعه، وتُحتسب حصة الحكومة البالغة 20٪ على الإيراد المؤهل فقط، ولا تُحتسب على التمويل أو القروض أو بيع الأصول أو الاستردادات. تُعرض الحصة التزاماً في حساب «الشركة العامة للنقل البري — حصة 20٪ مستحقة» وبنداً في قائمة الأرباح والخسائر.</w:t>
            </w:r>
          </w:p>
        </w:tc>
      </w:tr>
      <w:tr>
        <w:tc>
          <w:tcPr>
            <w:tcW w:type="dxa" w:w="74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س-15</w:t>
            </w:r>
          </w:p>
        </w:tc>
        <w:tc>
          <w:tcPr>
            <w:tcW w:type="dxa" w:w="205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السجل وميزان المراجعة</w:t>
            </w:r>
          </w:p>
        </w:tc>
        <w:tc>
          <w:tcPr>
            <w:tcW w:type="dxa" w:w="655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سجل قيود مزدوج واحد متعدد السنوات هو المصدر الأساسي، وترتبط به جميع القوائم والتقارير آلياً، ويتوازن الميزان تلقائياً ولا يُجبر يدوياً على التوازن بأي حال.</w:t>
            </w:r>
          </w:p>
        </w:tc>
      </w:tr>
      <w:tr>
        <w:tc>
          <w:tcPr>
            <w:tcW w:type="dxa" w:w="74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س-16</w:t>
            </w:r>
          </w:p>
        </w:tc>
        <w:tc>
          <w:tcPr>
            <w:tcW w:type="dxa" w:w="205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سلامة البيانات</w:t>
            </w:r>
          </w:p>
        </w:tc>
        <w:tc>
          <w:tcPr>
            <w:tcW w:type="dxa" w:w="655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تُحفظ التواريخ والبيانات والمبالغ والمصادر الأصلية كما هي. ولا تُختلق بيانات ناقصة. وتُدرج البنود غير الواضحة في سجل الاستثناءات ولا تُقحم في حسابات بالقوة.</w:t>
            </w:r>
          </w:p>
        </w:tc>
      </w:tr>
    </w:tbl>
    <w:p>
      <w:pPr>
        <w:spacing w:after="160"/>
      </w:pPr>
    </w:p>
    <w:tbl>
      <w:tblPr>
        <w:bidiVisual/>
        <w:tblW w:type="dxa" w:w="9360"/>
        <w:tblBorders>
          <w:top w:val="single" w:color="D6B656" w:sz="4"/>
          <w:left w:val="single" w:color="D6B656" w:sz="18"/>
          <w:bottom w:val="single" w:color="D6B656" w:sz="4"/>
          <w:right w:val="single" w:color="D6B656" w:sz="4"/>
          <w:insideH w:val="none"/>
          <w:insideV w:val="none"/>
        </w:tblBorders>
      </w:tblPr>
      <w:tblGrid>
        <w:gridCol w:w="9360"/>
      </w:tblGrid>
      <w:tr>
        <w:tc>
          <w:tcPr>
            <w:tcW w:type="dxa" w:w="9360"/>
            <w:shd w:fill="FFF2CC" w:val="clear"/>
            <w:tcMar>
              <w:top w:type="dxa" w:w="120"/>
              <w:left w:type="dxa" w:w="140"/>
              <w:bottom w:type="dxa" w:w="120"/>
              <w:right w:type="dxa" w:w="140"/>
            </w:tcMar>
          </w:tcPr>
          <w:p>
            <w:pPr>
              <w:bidi/>
              <w:spacing w:line="300"/>
              <w:jc w:val="both"/>
            </w:pPr>
            <w:r>
              <w:rPr>
                <w:rFonts w:ascii="Arial" w:cs="Arial" w:eastAsia="Arial" w:hAnsi="Arial"/>
                <w:b/>
                <w:bCs/>
                <w:color w:val="7F6000"/>
                <w:sz w:val="21"/>
                <w:szCs w:val="21"/>
                <w:rtl/>
              </w:rPr>
              <w:t xml:space="preserve">تنبيه محاسبي جوهري: إصدار السلفة ليس مصروفاً، والتسوية تُقيَّد دائماً بجعل حساب السلفة دائناً. ولا يجوز بأي حال جعل حساب مصروف أو حساب أصل قيد الإنشاء أو حساب ذمم مدينة دائناً من أجل تسوية سلفة. هذا الخطأ تحديداً هو مصدر الفرق الرقابي القائم على الحساب 112035، وقد جرى تصحيح اتجاه الترحيل في كامل السجل المعتمد.</w:t>
            </w:r>
          </w:p>
        </w:tc>
      </w:tr>
    </w:tbl>
    <w:p>
      <w:r>
        <w:br w:type="page"/>
      </w:r>
    </w:p>
    <w:p>
      <w:pPr>
        <w:pStyle w:val="Heading1"/>
        <w:bidi/>
        <w:spacing w:after="120" w:before="360"/>
        <w:jc w:val="right"/>
      </w:pPr>
      <w:r>
        <w:rPr>
          <w:rFonts w:ascii="Arial" w:cs="Arial" w:eastAsia="Arial" w:hAnsi="Arial"/>
          <w:b/>
          <w:bCs/>
          <w:color w:val="1F3864"/>
          <w:sz w:val="30"/>
          <w:szCs w:val="30"/>
          <w:rtl/>
        </w:rPr>
        <w:t xml:space="preserve">6 · معمارية النظام</w:t>
      </w:r>
    </w:p>
    <w:p>
      <w:pPr>
        <w:spacing w:after="160"/>
        <w:jc w:val="right"/>
      </w:pPr>
      <w:r>
        <w:rPr>
          <w:rFonts w:ascii="Arial" w:cs="Arial" w:eastAsia="Arial" w:hAnsi="Arial"/>
          <w:i/>
          <w:iCs/>
          <w:color w:val="2E5C8A"/>
          <w:sz w:val="18"/>
          <w:szCs w:val="18"/>
        </w:rPr>
        <w:t xml:space="preserve">System Architecture</w:t>
      </w:r>
    </w:p>
    <w:p>
      <w:pPr>
        <w:bidi/>
        <w:spacing w:after="140" w:line="300"/>
        <w:jc w:val="both"/>
      </w:pPr>
      <w:r>
        <w:rPr>
          <w:rFonts w:ascii="Arial" w:cs="Arial" w:eastAsia="Arial" w:hAnsi="Arial"/>
          <w:sz w:val="21"/>
          <w:szCs w:val="21"/>
          <w:rtl/>
        </w:rPr>
        <w:t xml:space="preserve">يقوم النظام على مبدأ واحد حاكم: لا يوجد رقم مخزَّن في النظام خارج سطور القيود. كل رصيد وكل مجموع وكل بند في قائمة مالية وكل مؤشر في لوحة الإدارة يُحتسب لحظة القراءة من سطور القيود المرحّلة. ويترتب على ذلك أن التباعد بين تقرير مالي وسجل القيود مستحيل بحكم التصميم، لا بحكم الانضباط.</w:t>
      </w:r>
    </w:p>
    <w:p>
      <w:pPr>
        <w:spacing w:after="100"/>
      </w:pP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182"/>
        <w:gridCol w:w="6178"/>
      </w:tblGrid>
      <w:tr>
        <w:trPr>
          <w:tblHeader/>
        </w:trPr>
        <w:tc>
          <w:tcPr>
            <w:tcW w:type="dxa" w:w="3182"/>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الطبقة</w:t>
            </w:r>
          </w:p>
        </w:tc>
        <w:tc>
          <w:tcPr>
            <w:tcW w:type="dxa" w:w="6178"/>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المسؤولية</w:t>
            </w:r>
          </w:p>
        </w:tc>
      </w:tr>
      <w:tr>
        <w:tc>
          <w:tcPr>
            <w:tcW w:type="dxa" w:w="318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البيانات الرئيسية وشجرة الحسابات</w:t>
            </w:r>
          </w:p>
        </w:tc>
        <w:tc>
          <w:tcPr>
            <w:tcW w:type="dxa" w:w="6178"/>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تعريف الحسابات والأبعاد والأطراف والمعاملات، وضبط ما هو مسموح بالترحيل إليه</w:t>
            </w:r>
          </w:p>
        </w:tc>
      </w:tr>
      <w:tr>
        <w:tc>
          <w:tcPr>
            <w:tcW w:type="dxa" w:w="318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محرك إدخال الحركات والترحيل</w:t>
            </w:r>
          </w:p>
        </w:tc>
        <w:tc>
          <w:tcPr>
            <w:tcW w:type="dxa" w:w="6178"/>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التحقق من القواعد وكشف الازدواجية وتوليد أرقام القيود وتثبيت الحركة</w:t>
            </w:r>
          </w:p>
        </w:tc>
      </w:tr>
      <w:tr>
        <w:tc>
          <w:tcPr>
            <w:tcW w:type="dxa" w:w="318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سجل القيود / الأستاذ العام</w:t>
            </w:r>
          </w:p>
        </w:tc>
        <w:tc>
          <w:tcPr>
            <w:tcW w:type="dxa" w:w="6178"/>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المكان الوحيد الذي يُخزَّن فيه رقم مالي</w:t>
            </w:r>
          </w:p>
        </w:tc>
      </w:tr>
      <w:tr>
        <w:tc>
          <w:tcPr>
            <w:tcW w:type="dxa" w:w="318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الأساتذة المساعدة وإدارة النقد والمطابقات</w:t>
            </w:r>
          </w:p>
        </w:tc>
        <w:tc>
          <w:tcPr>
            <w:tcW w:type="dxa" w:w="6178"/>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عروض مشتقة بالكامل من سجل القيود</w:t>
            </w:r>
          </w:p>
        </w:tc>
      </w:tr>
      <w:tr>
        <w:tc>
          <w:tcPr>
            <w:tcW w:type="dxa" w:w="318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ميزان المراجعة</w:t>
            </w:r>
          </w:p>
        </w:tc>
        <w:tc>
          <w:tcPr>
            <w:tcW w:type="dxa" w:w="6178"/>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تجميع فوق سطور القيود مع ثلاثة إثباتات توازن</w:t>
            </w:r>
          </w:p>
        </w:tc>
      </w:tr>
      <w:tr>
        <w:tc>
          <w:tcPr>
            <w:tcW w:type="dxa" w:w="318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القوائم المالية</w:t>
            </w:r>
          </w:p>
        </w:tc>
        <w:tc>
          <w:tcPr>
            <w:tcW w:type="dxa" w:w="6178"/>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تطبيق خريطة ربط الحسابات على ميزان المراجعة</w:t>
            </w:r>
          </w:p>
        </w:tc>
      </w:tr>
      <w:tr>
        <w:tc>
          <w:tcPr>
            <w:tcW w:type="dxa" w:w="318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التقارير الإدارية ولوحة المؤشرات</w:t>
            </w:r>
          </w:p>
        </w:tc>
        <w:tc>
          <w:tcPr>
            <w:tcW w:type="dxa" w:w="6178"/>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تجميعات ذات غرض إداري مع تنقل تفصيلي حتى المستند</w:t>
            </w:r>
          </w:p>
        </w:tc>
      </w:tr>
    </w:tbl>
    <w:p>
      <w:pPr>
        <w:spacing w:after="160"/>
      </w:pPr>
    </w:p>
    <w:p>
      <w:pPr>
        <w:pStyle w:val="Heading2"/>
        <w:bidi/>
        <w:spacing w:after="120" w:before="260"/>
        <w:jc w:val="right"/>
      </w:pPr>
      <w:r>
        <w:rPr>
          <w:rFonts w:ascii="Arial" w:cs="Arial" w:eastAsia="Arial" w:hAnsi="Arial"/>
          <w:b/>
          <w:bCs/>
          <w:color w:val="1F3864"/>
          <w:sz w:val="25"/>
          <w:szCs w:val="25"/>
          <w:rtl/>
        </w:rPr>
        <w:t xml:space="preserve">6-1 · الموقف النقدي ليس دفتراً مستقلاً</w:t>
      </w:r>
    </w:p>
    <w:p>
      <w:pPr>
        <w:spacing w:after="160"/>
        <w:jc w:val="right"/>
      </w:pPr>
      <w:r>
        <w:rPr>
          <w:rFonts w:ascii="Arial" w:cs="Arial" w:eastAsia="Arial" w:hAnsi="Arial"/>
          <w:i/>
          <w:iCs/>
          <w:color w:val="2E5C8A"/>
          <w:sz w:val="18"/>
          <w:szCs w:val="18"/>
        </w:rPr>
        <w:t xml:space="preserve">The Cash Position Is Not an Independent Ledger</w:t>
      </w:r>
    </w:p>
    <w:p>
      <w:pPr>
        <w:bidi/>
        <w:spacing w:after="140" w:line="300"/>
        <w:jc w:val="both"/>
      </w:pPr>
      <w:r>
        <w:rPr>
          <w:rFonts w:ascii="Arial" w:cs="Arial" w:eastAsia="Arial" w:hAnsi="Arial"/>
          <w:sz w:val="21"/>
          <w:szCs w:val="21"/>
          <w:rtl/>
        </w:rPr>
        <w:t xml:space="preserve">يمثّل الموقف النقدي وحدة رئيسية في النظام، غير أنه لا يُعدّ دفتراً محاسبياً مستقلاً. فالرصيد الدفتري لكل خزنة أو صندوق أو حساب مصرفي يُولَّد آلياً من الحركات المرحّلة على الحساب المعني، وهو حقل غير قابل للكتابة في كل طبقات النظام. أما الرصيد الفعلي فيُدخَل من كشف المصرف أو الجرد النقدي مع مستند مؤيد ومحاسب مسؤول، ويُحتسب الفرق آلياً. وأي فرق غير صفري يُبقي الحساب غير مطابَق ويفتح استثناءً.</w:t>
      </w:r>
    </w:p>
    <w:p>
      <w:pPr>
        <w:spacing w:after="100"/>
      </w:pPr>
    </w:p>
    <w:p>
      <w:pPr>
        <w:bidi/>
        <w:spacing w:after="140" w:line="300"/>
        <w:jc w:val="both"/>
      </w:pPr>
      <w:r>
        <w:rPr>
          <w:rFonts w:ascii="Arial" w:cs="Arial" w:eastAsia="Arial" w:hAnsi="Arial"/>
          <w:sz w:val="21"/>
          <w:szCs w:val="21"/>
          <w:rtl/>
        </w:rPr>
        <w:t xml:space="preserve">يشمل الموقف النقدي كحد أدنى: الرصيد الافتتاحي، والمقبوضات، والمدفوعات، والرصيد الدفتري الختامي، والرصيد الفعلي حسب كشف المصرف أو الجرد، والرصيد المطابَق، والفرق، وحالة المطابقة، وتاريخ آخر مطابقة، والمحاسب المسؤول، والمستند المؤيد، وإمكانية التنقل التفصيلي إلى القيود المكوّنة للرصيد.</w:t>
      </w:r>
    </w:p>
    <w:p>
      <w:r>
        <w:br w:type="page"/>
      </w:r>
    </w:p>
    <w:p>
      <w:pPr>
        <w:pStyle w:val="Heading1"/>
        <w:bidi/>
        <w:spacing w:after="120" w:before="360"/>
        <w:jc w:val="right"/>
      </w:pPr>
      <w:r>
        <w:rPr>
          <w:rFonts w:ascii="Arial" w:cs="Arial" w:eastAsia="Arial" w:hAnsi="Arial"/>
          <w:b/>
          <w:bCs/>
          <w:color w:val="1F3864"/>
          <w:sz w:val="30"/>
          <w:szCs w:val="30"/>
          <w:rtl/>
        </w:rPr>
        <w:t xml:space="preserve">7 · وحدات النظام</w:t>
      </w:r>
    </w:p>
    <w:p>
      <w:pPr>
        <w:spacing w:after="160"/>
        <w:jc w:val="right"/>
      </w:pPr>
      <w:r>
        <w:rPr>
          <w:rFonts w:ascii="Arial" w:cs="Arial" w:eastAsia="Arial" w:hAnsi="Arial"/>
          <w:i/>
          <w:iCs/>
          <w:color w:val="2E5C8A"/>
          <w:sz w:val="18"/>
          <w:szCs w:val="18"/>
        </w:rPr>
        <w:t xml:space="preserve">System Modules</w:t>
      </w: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749"/>
        <w:gridCol w:w="2246"/>
        <w:gridCol w:w="5054"/>
        <w:gridCol w:w="1310"/>
      </w:tblGrid>
      <w:tr>
        <w:trPr>
          <w:tblHeader/>
        </w:trPr>
        <w:tc>
          <w:tcPr>
            <w:tcW w:type="dxa" w:w="749"/>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الرمز</w:t>
            </w:r>
          </w:p>
        </w:tc>
        <w:tc>
          <w:tcPr>
            <w:tcW w:type="dxa" w:w="2246"/>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الوحدة</w:t>
            </w:r>
          </w:p>
        </w:tc>
        <w:tc>
          <w:tcPr>
            <w:tcW w:type="dxa" w:w="5054"/>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المحتوى</w:t>
            </w:r>
          </w:p>
        </w:tc>
        <w:tc>
          <w:tcPr>
            <w:tcW w:type="dxa" w:w="1310"/>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المرحلة</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M00</w:t>
            </w:r>
          </w:p>
        </w:tc>
        <w:tc>
          <w:tcPr>
            <w:tcW w:type="dxa" w:w="224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السياسات والمعاملات</w:t>
            </w:r>
          </w:p>
        </w:tc>
        <w:tc>
          <w:tcPr>
            <w:tcW w:type="dxa" w:w="505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الكيان والعملة وسياسة الكسور ونسبة الحصة الحكومية ومدة العقد وتاريخ التشغيل التجاري، بتأريخ سريان وسجل تغييرات كامل</w:t>
            </w:r>
          </w:p>
        </w:tc>
        <w:tc>
          <w:tcPr>
            <w:tcW w:type="dxa" w:w="1310"/>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M01</w:t>
            </w:r>
          </w:p>
        </w:tc>
        <w:tc>
          <w:tcPr>
            <w:tcW w:type="dxa" w:w="224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البيانات الرئيسية وشجرة الحسابات</w:t>
            </w:r>
          </w:p>
        </w:tc>
        <w:tc>
          <w:tcPr>
            <w:tcW w:type="dxa" w:w="505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145 حساباً معتمداً، والأطراف المقابلة، والمساهمون، وأصحاب العهد، والحسابات النقدية والمصرفية</w:t>
            </w:r>
          </w:p>
        </w:tc>
        <w:tc>
          <w:tcPr>
            <w:tcW w:type="dxa" w:w="1310"/>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M02</w:t>
            </w:r>
          </w:p>
        </w:tc>
        <w:tc>
          <w:tcPr>
            <w:tcW w:type="dxa" w:w="224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الأبعاد التحليلية</w:t>
            </w:r>
          </w:p>
        </w:tc>
        <w:tc>
          <w:tcPr>
            <w:tcW w:type="dxa" w:w="505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المشاريع ومراكز التكلفة ومراكز المسؤولية ومصادر التمويل وتصنيفاته ودفعاته</w:t>
            </w:r>
          </w:p>
        </w:tc>
        <w:tc>
          <w:tcPr>
            <w:tcW w:type="dxa" w:w="1310"/>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M03</w:t>
            </w:r>
          </w:p>
        </w:tc>
        <w:tc>
          <w:tcPr>
            <w:tcW w:type="dxa" w:w="224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القيود ومحرك الترحيل</w:t>
            </w:r>
          </w:p>
        </w:tc>
        <w:tc>
          <w:tcPr>
            <w:tcW w:type="dxa" w:w="505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رأس القيد وسطوره، و39 نوع حركة، و35 قاعدة ترحيل، ودورة الاعتماد، والعكس وإعادة التبويب</w:t>
            </w:r>
          </w:p>
        </w:tc>
        <w:tc>
          <w:tcPr>
            <w:tcW w:type="dxa" w:w="1310"/>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M04</w:t>
            </w:r>
          </w:p>
        </w:tc>
        <w:tc>
          <w:tcPr>
            <w:tcW w:type="dxa" w:w="224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السلف والعهد</w:t>
            </w:r>
          </w:p>
        </w:tc>
        <w:tc>
          <w:tcPr>
            <w:tcW w:type="dxa" w:w="505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الصرف والتسوية والاسترداد وإعادة التصنيف وأعمار السلف وتدقيق التسويات</w:t>
            </w:r>
          </w:p>
        </w:tc>
        <w:tc>
          <w:tcPr>
            <w:tcW w:type="dxa" w:w="1310"/>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M05</w:t>
            </w:r>
          </w:p>
        </w:tc>
        <w:tc>
          <w:tcPr>
            <w:tcW w:type="dxa" w:w="224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تمويل المساهمين</w:t>
            </w:r>
          </w:p>
        </w:tc>
        <w:tc>
          <w:tcPr>
            <w:tcW w:type="dxa" w:w="505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كشف التمويل وتحليل الاستخدام ورقابة سلسلة التمويل الثلاثية</w:t>
            </w:r>
          </w:p>
        </w:tc>
        <w:tc>
          <w:tcPr>
            <w:tcW w:type="dxa" w:w="1310"/>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M06</w:t>
            </w:r>
          </w:p>
        </w:tc>
        <w:tc>
          <w:tcPr>
            <w:tcW w:type="dxa" w:w="224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المقاولون والموردون</w:t>
            </w:r>
          </w:p>
        </w:tc>
        <w:tc>
          <w:tcPr>
            <w:tcW w:type="dxa" w:w="505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أستاذ مساعد بالسلف والتصديقات والمحتجزات والمدفوعات ومطابقته مع الأستاذ العام</w:t>
            </w:r>
          </w:p>
        </w:tc>
        <w:tc>
          <w:tcPr>
            <w:tcW w:type="dxa" w:w="1310"/>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M07</w:t>
            </w:r>
          </w:p>
        </w:tc>
        <w:tc>
          <w:tcPr>
            <w:tcW w:type="dxa" w:w="224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محرك التقارير المالية</w:t>
            </w:r>
          </w:p>
        </w:tc>
        <w:tc>
          <w:tcPr>
            <w:tcW w:type="dxa" w:w="505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ميزان المراجعة والقوائم المالية مبنية على خريطة ربط قابلة للتهيئة مع تنقل تفصيلي كامل</w:t>
            </w:r>
          </w:p>
        </w:tc>
        <w:tc>
          <w:tcPr>
            <w:tcW w:type="dxa" w:w="1310"/>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M08</w:t>
            </w:r>
          </w:p>
        </w:tc>
        <w:tc>
          <w:tcPr>
            <w:tcW w:type="dxa" w:w="224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التقارير الإدارية ولوحة المؤشرات</w:t>
            </w:r>
          </w:p>
        </w:tc>
        <w:tc>
          <w:tcPr>
            <w:tcW w:type="dxa" w:w="505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مؤشرات حية ذات غرض إداري، والمقارنات في المرحلة الثانية</w:t>
            </w:r>
          </w:p>
        </w:tc>
        <w:tc>
          <w:tcPr>
            <w:tcW w:type="dxa" w:w="1310"/>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 / الثانية</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M09</w:t>
            </w:r>
          </w:p>
        </w:tc>
        <w:tc>
          <w:tcPr>
            <w:tcW w:type="dxa" w:w="224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الرقابة والمطابقات</w:t>
            </w:r>
          </w:p>
        </w:tc>
        <w:tc>
          <w:tcPr>
            <w:tcW w:type="dxa" w:w="505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كشف الازدواجية وسجل الاستثناءات وسجل الفروقات المفتوحة والمطابقات</w:t>
            </w:r>
          </w:p>
        </w:tc>
        <w:tc>
          <w:tcPr>
            <w:tcW w:type="dxa" w:w="1310"/>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M10</w:t>
            </w:r>
          </w:p>
        </w:tc>
        <w:tc>
          <w:tcPr>
            <w:tcW w:type="dxa" w:w="224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أثر التدقيق</w:t>
            </w:r>
          </w:p>
        </w:tc>
        <w:tc>
          <w:tcPr>
            <w:tcW w:type="dxa" w:w="505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سجل غير قابل للتعديل لكل إنشاء وتعديل وتقديم ومراجعة واعتماد وترحيل وعكس وإقفال</w:t>
            </w:r>
          </w:p>
        </w:tc>
        <w:tc>
          <w:tcPr>
            <w:tcW w:type="dxa" w:w="1310"/>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M11</w:t>
            </w:r>
          </w:p>
        </w:tc>
        <w:tc>
          <w:tcPr>
            <w:tcW w:type="dxa" w:w="224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إدارة النقد والمصارف</w:t>
            </w:r>
          </w:p>
        </w:tc>
        <w:tc>
          <w:tcPr>
            <w:tcW w:type="dxa" w:w="505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أرصدة دفترية مشتقة، ومطابقة بفرق ومستند مؤيد ومسؤول</w:t>
            </w:r>
          </w:p>
        </w:tc>
        <w:tc>
          <w:tcPr>
            <w:tcW w:type="dxa" w:w="1310"/>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M12</w:t>
            </w:r>
          </w:p>
        </w:tc>
        <w:tc>
          <w:tcPr>
            <w:tcW w:type="dxa" w:w="224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الامتياز والأصول قيد الإنشاء</w:t>
            </w:r>
          </w:p>
        </w:tc>
        <w:tc>
          <w:tcPr>
            <w:tcW w:type="dxa" w:w="505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سجل قيد الإنشاء بتصنيف التسليم، والتحويل والإطفاء موقوفان حتى تحديد تاريخ التشغيل</w:t>
            </w:r>
          </w:p>
        </w:tc>
        <w:tc>
          <w:tcPr>
            <w:tcW w:type="dxa" w:w="1310"/>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M13</w:t>
            </w:r>
          </w:p>
        </w:tc>
        <w:tc>
          <w:tcPr>
            <w:tcW w:type="dxa" w:w="224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العقود وحزم العمل</w:t>
            </w:r>
          </w:p>
        </w:tc>
        <w:tc>
          <w:tcPr>
            <w:tcW w:type="dxa" w:w="505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سجل عقود كامل بالملاحق وأوامر التغيير</w:t>
            </w:r>
          </w:p>
        </w:tc>
        <w:tc>
          <w:tcPr>
            <w:tcW w:type="dxa" w:w="1310"/>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الثانية</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M14</w:t>
            </w:r>
          </w:p>
        </w:tc>
        <w:tc>
          <w:tcPr>
            <w:tcW w:type="dxa" w:w="224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الإيراد وحصة الحكومة</w:t>
            </w:r>
          </w:p>
        </w:tc>
        <w:tc>
          <w:tcPr>
            <w:tcW w:type="dxa" w:w="505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الاعتراف بالإيراد وإدارة الأهلية واحتساب الحصة ومطابقتها</w:t>
            </w:r>
          </w:p>
        </w:tc>
        <w:tc>
          <w:tcPr>
            <w:tcW w:type="dxa" w:w="1310"/>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 (تُمارَس في الثانية)</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M15</w:t>
            </w:r>
          </w:p>
        </w:tc>
        <w:tc>
          <w:tcPr>
            <w:tcW w:type="dxa" w:w="224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إدارة الفترات والإقفال</w:t>
            </w:r>
          </w:p>
        </w:tc>
        <w:tc>
          <w:tcPr>
            <w:tcW w:type="dxa" w:w="505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فتح وإقفال مبدئي ونهائي وإعادة فتح بصلاحية وقفل، وقائمة إقفال شهري من 25 مهمة</w:t>
            </w:r>
          </w:p>
        </w:tc>
        <w:tc>
          <w:tcPr>
            <w:tcW w:type="dxa" w:w="1310"/>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M16</w:t>
            </w:r>
          </w:p>
        </w:tc>
        <w:tc>
          <w:tcPr>
            <w:tcW w:type="dxa" w:w="224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إدارة المستندات</w:t>
            </w:r>
          </w:p>
        </w:tc>
        <w:tc>
          <w:tcPr>
            <w:tcW w:type="dxa" w:w="505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إرفاق الأدلة بحالة مضبوطة تغذّي تقرير الاستثناءات</w:t>
            </w:r>
          </w:p>
        </w:tc>
        <w:tc>
          <w:tcPr>
            <w:tcW w:type="dxa" w:w="1310"/>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M17</w:t>
            </w:r>
          </w:p>
        </w:tc>
        <w:tc>
          <w:tcPr>
            <w:tcW w:type="dxa" w:w="224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الأمن والصلاحيات</w:t>
            </w:r>
          </w:p>
        </w:tc>
        <w:tc>
          <w:tcPr>
            <w:tcW w:type="dxa" w:w="505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ثمانية أدوار وسبع عشرة صلاحية وفصل المُعِد عن المراجع</w:t>
            </w:r>
          </w:p>
        </w:tc>
        <w:tc>
          <w:tcPr>
            <w:tcW w:type="dxa" w:w="1310"/>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M18</w:t>
            </w:r>
          </w:p>
        </w:tc>
        <w:tc>
          <w:tcPr>
            <w:tcW w:type="dxa" w:w="224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ترحيل البيانات</w:t>
            </w:r>
          </w:p>
        </w:tc>
        <w:tc>
          <w:tcPr>
            <w:tcW w:type="dxa" w:w="505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اثنتان وعشرون خطوة ترحيل وثلاثون ضابط مطابقة</w:t>
            </w:r>
          </w:p>
        </w:tc>
        <w:tc>
          <w:tcPr>
            <w:tcW w:type="dxa" w:w="1310"/>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M19</w:t>
            </w:r>
          </w:p>
        </w:tc>
        <w:tc>
          <w:tcPr>
            <w:tcW w:type="dxa" w:w="224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واجهة المستخدم</w:t>
            </w:r>
          </w:p>
        </w:tc>
        <w:tc>
          <w:tcPr>
            <w:tcW w:type="dxa" w:w="505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عربية من اليمين إلى اليسار، بحث وتصفية وفرز وتنقل وتصدير وطباعة</w:t>
            </w:r>
          </w:p>
        </w:tc>
        <w:tc>
          <w:tcPr>
            <w:tcW w:type="dxa" w:w="1310"/>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M20</w:t>
            </w:r>
          </w:p>
        </w:tc>
        <w:tc>
          <w:tcPr>
            <w:tcW w:type="dxa" w:w="2246"/>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المتطلبات غير الوظيفية</w:t>
            </w:r>
          </w:p>
        </w:tc>
        <w:tc>
          <w:tcPr>
            <w:tcW w:type="dxa" w:w="505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الأمن والنسخ الاحتياطي والاستعادة والأداء والتوسع</w:t>
            </w:r>
          </w:p>
        </w:tc>
        <w:tc>
          <w:tcPr>
            <w:tcW w:type="dxa" w:w="1310"/>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الأولى</w:t>
            </w:r>
          </w:p>
        </w:tc>
      </w:tr>
    </w:tbl>
    <w:p>
      <w:r>
        <w:br w:type="page"/>
      </w:r>
    </w:p>
    <w:p>
      <w:pPr>
        <w:pStyle w:val="Heading1"/>
        <w:bidi/>
        <w:spacing w:after="120" w:before="360"/>
        <w:jc w:val="right"/>
      </w:pPr>
      <w:r>
        <w:rPr>
          <w:rFonts w:ascii="Arial" w:cs="Arial" w:eastAsia="Arial" w:hAnsi="Arial"/>
          <w:b/>
          <w:bCs/>
          <w:color w:val="1F3864"/>
          <w:sz w:val="30"/>
          <w:szCs w:val="30"/>
          <w:rtl/>
        </w:rPr>
        <w:t xml:space="preserve">8 · العمليات التشغيلية</w:t>
      </w:r>
    </w:p>
    <w:p>
      <w:pPr>
        <w:spacing w:after="160"/>
        <w:jc w:val="right"/>
      </w:pPr>
      <w:r>
        <w:rPr>
          <w:rFonts w:ascii="Arial" w:cs="Arial" w:eastAsia="Arial" w:hAnsi="Arial"/>
          <w:i/>
          <w:iCs/>
          <w:color w:val="2E5C8A"/>
          <w:sz w:val="18"/>
          <w:szCs w:val="18"/>
        </w:rPr>
        <w:t xml:space="preserve">Business Processes</w:t>
      </w:r>
    </w:p>
    <w:p>
      <w:pPr>
        <w:pStyle w:val="Heading2"/>
        <w:bidi/>
        <w:spacing w:after="120" w:before="260"/>
        <w:jc w:val="right"/>
      </w:pPr>
      <w:r>
        <w:rPr>
          <w:rFonts w:ascii="Arial" w:cs="Arial" w:eastAsia="Arial" w:hAnsi="Arial"/>
          <w:b/>
          <w:bCs/>
          <w:color w:val="1F3864"/>
          <w:sz w:val="25"/>
          <w:szCs w:val="25"/>
          <w:rtl/>
        </w:rPr>
        <w:t xml:space="preserve">8-1 · سلسلة التمويل</w:t>
      </w:r>
    </w:p>
    <w:p>
      <w:pPr>
        <w:spacing w:after="160"/>
        <w:jc w:val="right"/>
      </w:pPr>
      <w:r>
        <w:rPr>
          <w:rFonts w:ascii="Arial" w:cs="Arial" w:eastAsia="Arial" w:hAnsi="Arial"/>
          <w:i/>
          <w:iCs/>
          <w:color w:val="2E5C8A"/>
          <w:sz w:val="18"/>
          <w:szCs w:val="18"/>
        </w:rPr>
        <w:t xml:space="preserve">The Funding Chain</w:t>
      </w:r>
    </w:p>
    <w:p>
      <w:pPr>
        <w:bidi/>
        <w:spacing w:after="140" w:line="300"/>
        <w:jc w:val="both"/>
      </w:pPr>
      <w:r>
        <w:rPr>
          <w:rFonts w:ascii="Arial" w:cs="Arial" w:eastAsia="Arial" w:hAnsi="Arial"/>
          <w:sz w:val="21"/>
          <w:szCs w:val="21"/>
          <w:rtl/>
        </w:rPr>
        <w:t xml:space="preserve">ينتظم السجل المحاسبي المعتمد حول سلسلة تمويل واضحة، تُثبَّت خطوتها على سطر القيد بوصفها حقلاً رقابياً. وهذه السلسلة هي ما يجعل الرقابة الثلاثية قابلة للاحتساب مباشرة من الدفاتر:</w:t>
      </w: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936"/>
        <w:gridCol w:w="3182"/>
        <w:gridCol w:w="2808"/>
        <w:gridCol w:w="2434"/>
      </w:tblGrid>
      <w:tr>
        <w:trPr>
          <w:tblHeader/>
        </w:trPr>
        <w:tc>
          <w:tcPr>
            <w:tcW w:type="dxa" w:w="936"/>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الخطوة</w:t>
            </w:r>
          </w:p>
        </w:tc>
        <w:tc>
          <w:tcPr>
            <w:tcW w:type="dxa" w:w="3182"/>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الوصف</w:t>
            </w:r>
          </w:p>
        </w:tc>
        <w:tc>
          <w:tcPr>
            <w:tcW w:type="dxa" w:w="2808"/>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الطرف المدين</w:t>
            </w:r>
          </w:p>
        </w:tc>
        <w:tc>
          <w:tcPr>
            <w:tcW w:type="dxa" w:w="2434"/>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الطرف الدائن</w:t>
            </w:r>
          </w:p>
        </w:tc>
      </w:tr>
      <w:tr>
        <w:tc>
          <w:tcPr>
            <w:tcW w:type="dxa" w:w="93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w:t>
            </w:r>
          </w:p>
        </w:tc>
        <w:tc>
          <w:tcPr>
            <w:tcW w:type="dxa" w:w="318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تمويل من المساهم</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111002 خزنة المشروع</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221001 قرض المساهم</w:t>
            </w:r>
          </w:p>
        </w:tc>
      </w:tr>
      <w:tr>
        <w:tc>
          <w:tcPr>
            <w:tcW w:type="dxa" w:w="93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2</w:t>
            </w:r>
          </w:p>
        </w:tc>
        <w:tc>
          <w:tcPr>
            <w:tcW w:type="dxa" w:w="318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تحويل إلى سلفة</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112030 / 112035 / 112020 السلف</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111002 خزنة المشروع</w:t>
            </w:r>
          </w:p>
        </w:tc>
      </w:tr>
      <w:tr>
        <w:tc>
          <w:tcPr>
            <w:tcW w:type="dxa" w:w="93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2</w:t>
            </w:r>
          </w:p>
        </w:tc>
        <w:tc>
          <w:tcPr>
            <w:tcW w:type="dxa" w:w="318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دفع مباشر من الخزنة</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الحساب الاقتصادي النهائي</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111002 خزنة المشروع</w:t>
            </w:r>
          </w:p>
        </w:tc>
      </w:tr>
      <w:tr>
        <w:tc>
          <w:tcPr>
            <w:tcW w:type="dxa" w:w="936"/>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2ب</w:t>
            </w:r>
          </w:p>
        </w:tc>
        <w:tc>
          <w:tcPr>
            <w:tcW w:type="dxa" w:w="318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سلفة فرعية من العهدة</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112010 سلف الموظفين</w:t>
            </w:r>
          </w:p>
        </w:tc>
        <w:tc>
          <w:tcPr>
            <w:tcW w:type="dxa" w:w="2434"/>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112030 / 112035</w:t>
            </w:r>
          </w:p>
        </w:tc>
      </w:tr>
      <w:tr>
        <w:tc>
          <w:tcPr>
            <w:tcW w:type="dxa" w:w="93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3</w:t>
            </w:r>
          </w:p>
        </w:tc>
        <w:tc>
          <w:tcPr>
            <w:tcW w:type="dxa" w:w="318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تسوية السلفة</w:t>
            </w:r>
          </w:p>
        </w:tc>
        <w:tc>
          <w:tcPr>
            <w:tcW w:type="dxa" w:w="280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115xxx / 116001 / 118xxx / 510xxx / 610xxx</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حساب السلفة</w:t>
            </w:r>
          </w:p>
        </w:tc>
      </w:tr>
      <w:tr>
        <w:tc>
          <w:tcPr>
            <w:tcW w:type="dxa" w:w="93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X</w:t>
            </w:r>
          </w:p>
        </w:tc>
        <w:tc>
          <w:tcPr>
            <w:tcW w:type="dxa" w:w="318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إعادة تصنيف إلى ذمم شخصية</w:t>
            </w:r>
          </w:p>
        </w:tc>
        <w:tc>
          <w:tcPr>
            <w:tcW w:type="dxa" w:w="280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112101 / 112102</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حساب السلفة</w:t>
            </w:r>
          </w:p>
        </w:tc>
      </w:tr>
      <w:tr>
        <w:tc>
          <w:tcPr>
            <w:tcW w:type="dxa" w:w="93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X</w:t>
            </w:r>
          </w:p>
        </w:tc>
        <w:tc>
          <w:tcPr>
            <w:tcW w:type="dxa" w:w="318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عجز إلى الحساب الوسيط</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112090 الحساب الوسيط</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حساب السلفة</w:t>
            </w:r>
          </w:p>
        </w:tc>
      </w:tr>
      <w:tr>
        <w:tc>
          <w:tcPr>
            <w:tcW w:type="dxa" w:w="93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R</w:t>
            </w:r>
          </w:p>
        </w:tc>
        <w:tc>
          <w:tcPr>
            <w:tcW w:type="dxa" w:w="318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استرداد</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111002 خزنة المشروع</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112020 سلف المقاولين</w:t>
            </w:r>
          </w:p>
        </w:tc>
      </w:tr>
    </w:tbl>
    <w:p>
      <w:pPr>
        <w:spacing w:after="140"/>
      </w:pPr>
    </w:p>
    <w:p>
      <w:pPr>
        <w:bidi/>
        <w:spacing w:after="140" w:line="300"/>
        <w:jc w:val="both"/>
      </w:pPr>
      <w:r>
        <w:rPr>
          <w:rFonts w:ascii="Arial" w:cs="Arial" w:eastAsia="Arial" w:hAnsi="Arial"/>
          <w:b/>
          <w:bCs/>
          <w:sz w:val="21"/>
          <w:szCs w:val="21"/>
          <w:rtl/>
        </w:rPr>
        <w:t xml:space="preserve">تُحتسب الرقابة الثلاثية على النحو الآتي: المستوى الأول مجموع الدائن في حساب قرض المساهم للمجموعة، والمستوى الثاني مجموع المدين في حسابات السلف لها، والمستوى الثالث مجموع الدائن الخارج من السلف إلى الحسابات النهائية. ويُعرض الفرق بين المستويين الثاني والثالث بقيمته الحقيقية ولا يُجبَر على الصفر بأي قيد موازنة.</w:t>
      </w:r>
    </w:p>
    <w:p>
      <w:pPr>
        <w:spacing w:after="160"/>
      </w:pPr>
    </w:p>
    <w:p>
      <w:pPr>
        <w:pStyle w:val="Heading2"/>
        <w:bidi/>
        <w:spacing w:after="120" w:before="260"/>
        <w:jc w:val="right"/>
      </w:pPr>
      <w:r>
        <w:rPr>
          <w:rFonts w:ascii="Arial" w:cs="Arial" w:eastAsia="Arial" w:hAnsi="Arial"/>
          <w:b/>
          <w:bCs/>
          <w:color w:val="1F3864"/>
          <w:sz w:val="25"/>
          <w:szCs w:val="25"/>
          <w:rtl/>
        </w:rPr>
        <w:t xml:space="preserve">8-2 · أنواع الحركات المحاسبية</w:t>
      </w:r>
    </w:p>
    <w:p>
      <w:pPr>
        <w:spacing w:after="160"/>
        <w:jc w:val="right"/>
      </w:pPr>
      <w:r>
        <w:rPr>
          <w:rFonts w:ascii="Arial" w:cs="Arial" w:eastAsia="Arial" w:hAnsi="Arial"/>
          <w:i/>
          <w:iCs/>
          <w:color w:val="2E5C8A"/>
          <w:sz w:val="18"/>
          <w:szCs w:val="18"/>
        </w:rPr>
        <w:t xml:space="preserve">Transaction Types</w:t>
      </w:r>
    </w:p>
    <w:p>
      <w:pPr>
        <w:bidi/>
        <w:spacing w:after="140" w:line="300"/>
        <w:jc w:val="both"/>
      </w:pPr>
      <w:r>
        <w:rPr>
          <w:rFonts w:ascii="Arial" w:cs="Arial" w:eastAsia="Arial" w:hAnsi="Arial"/>
          <w:sz w:val="21"/>
          <w:szCs w:val="21"/>
          <w:rtl/>
        </w:rPr>
        <w:t xml:space="preserve">حُصرت تسع وثلاثون حركة محاسبية، لكل منها حدث أعمال ومدخلات مطلوبة ومعالجة محاسبية ومنطق مدين ومنطق دائن وأبعاد إلزامية ومستندات مطلوبة ومسار اعتماد وتقارير متأثرة وقواعد رقابة. يرد التفصيل الكامل في الورقة 12_Transaction_Types من الوثيقة (ج)، وفيما يلي موجزها:</w:t>
      </w: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655"/>
        <w:gridCol w:w="2434"/>
        <w:gridCol w:w="3182"/>
        <w:gridCol w:w="3089"/>
      </w:tblGrid>
      <w:tr>
        <w:trPr>
          <w:tblHeader/>
        </w:trPr>
        <w:tc>
          <w:tcPr>
            <w:tcW w:type="dxa" w:w="655"/>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الرمز</w:t>
            </w:r>
          </w:p>
        </w:tc>
        <w:tc>
          <w:tcPr>
            <w:tcW w:type="dxa" w:w="2434"/>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نوع الحركة</w:t>
            </w:r>
          </w:p>
        </w:tc>
        <w:tc>
          <w:tcPr>
            <w:tcW w:type="dxa" w:w="3182"/>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منطق المدين</w:t>
            </w:r>
          </w:p>
        </w:tc>
        <w:tc>
          <w:tcPr>
            <w:tcW w:type="dxa" w:w="3089"/>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منطق الدائن</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TT-01</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تمويل مساهم — نقد مستلم</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111001/111002/111003/111010/111011 (cash or bank account receiving the funds)</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221001–221004 Shareholder Loan, or 222001–222004 Shareholder Current Account, or 310010 Capital Contributions Pending Registration — per the approved classification of the funding instrument</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TT-02</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دفع مباشر من المساهم نيابة عن الشركة</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the final economic account — 115xxx CIP, 116xxx acquisition, 118xxx fixed asset, 112xxx advance, 510xxx/610xxx expense</w:t>
            </w:r>
          </w:p>
        </w:tc>
        <w:tc>
          <w:tcPr>
            <w:tcW w:type="dxa" w:w="308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221001–221004 Shareholder Loan of the funding shareholder</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TT-03</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تمويل من طرف آخر</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111002 cash / safe, or the final economic account where paid directly</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211090 Other Payables, with the funding party as counterparty</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TT-04</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قبض نقدي</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111xxx cash / bank</w:t>
            </w:r>
          </w:p>
        </w:tc>
        <w:tc>
          <w:tcPr>
            <w:tcW w:type="dxa" w:w="308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112001 receivable, 410xxx revenue, 112040 deposits or the relevant account</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TT-05</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دفع نقدي مباشر</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the final economic account (115xxx / 118xxx / 510xxx / 610xxx / 211xxx)</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111001/111002/111003/111010/111011</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TT-06</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مناقلة بين الحسابات النقدية</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the receiving 111xxx account (or 111020 Cash in Transit where the movement spans periods)</w:t>
            </w:r>
          </w:p>
        </w:tc>
        <w:tc>
          <w:tcPr>
            <w:tcW w:type="dxa" w:w="308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the paying 111xxx account</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TT-07</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صرف سلفة عهدة</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112030/112032 (Abdul Hamid), 112035/112037 (Yas Jassim), 112010 employee advances, 112020 contractor advances, 112021 supplier advances</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111002 or the paying cash account</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TT-08</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سلفة فرعية من العهدة</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112010 Employee Advances (or the receiving advance account)</w:t>
            </w:r>
          </w:p>
        </w:tc>
        <w:tc>
          <w:tcPr>
            <w:tcW w:type="dxa" w:w="308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112030 / 112035 the originating custody account</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TT-09</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تسوية سلفة — نفقة رأسمالية</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115xxx Concession Assets under Construction (or 116xxx / 118xxx as approved)</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112030 / 112032 / 112035 / 112037 / 112010 — ALWAYS the advance account</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TT-10</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تسوية سلفة — نفقة تشغيلية أو إدارية</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510xxx Direct Operating Costs or 610xxx Administrative Expenses</w:t>
            </w:r>
          </w:p>
        </w:tc>
        <w:tc>
          <w:tcPr>
            <w:tcW w:type="dxa" w:w="308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the advance account</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TT-11</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تسوية سلفة — أصل ثابت</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118001–118009 Retained Fixed Assets</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the advance account</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TT-12</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إعادة تصنيف إلى ذمم شخصية</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112101 / 112102 Personal Receivable of that person</w:t>
            </w:r>
          </w:p>
        </w:tc>
        <w:tc>
          <w:tcPr>
            <w:tcW w:type="dxa" w:w="308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112030 / 112035 the advance account</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TT-13</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إعادة نقد غير مستخدم من السلفة</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111xxx cash account</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the advance account</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TT-14</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سلفة مقاول أو مورد</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112020 Contractor Advances / 112021 Supplier Advances</w:t>
            </w:r>
          </w:p>
        </w:tc>
        <w:tc>
          <w:tcPr>
            <w:tcW w:type="dxa" w:w="308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111xxx cash or 221xxx where paid directly by the shareholder</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TT-15</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إثبات أعمال مصدّقة</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115xxx CIP (or 510xxx where the work is operating in nature)</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211003 Certified Works Payable</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TT-16</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استقطاع السلفة من الأعمال المصدّقة</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211003 Certified Works Payable</w:t>
            </w:r>
          </w:p>
        </w:tc>
        <w:tc>
          <w:tcPr>
            <w:tcW w:type="dxa" w:w="308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112020 Contractor Advances</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TT-17</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احتجاز ضمان</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211003 Certified Works Payable</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211004 Retention Payable</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TT-18</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دفع لمقاول أو مورد</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211001 / 211002 / 211003</w:t>
            </w:r>
          </w:p>
        </w:tc>
        <w:tc>
          <w:tcPr>
            <w:tcW w:type="dxa" w:w="308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111xxx cash or bank</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TT-19</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إثبات فاتورة مورد</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115xxx / 118xxx / 510xxx / 610xxx as appropriate</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211001 Trade Suppliers</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TT-20</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دفعة مقدمة لاستحواذ حصة مشروع</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116001 Advance Payments for Acquisition of PRJ-02 Interest</w:t>
            </w:r>
          </w:p>
        </w:tc>
        <w:tc>
          <w:tcPr>
            <w:tcW w:type="dxa" w:w="308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112030 advance account, 111xxx cash or 221xxx shareholder loan as applicable</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TT-21</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إتمام استحواذ حصة مشروع</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116002 Investment – Acquisition of PRJ-02 Interest (Completed), or 116011 where the interest is that of a named individual</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116001 Advance Payments</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TT-22</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إثبات أصول الامتياز قيد الإنشاء</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115001–115099 as classified</w:t>
            </w:r>
          </w:p>
        </w:tc>
        <w:tc>
          <w:tcPr>
            <w:tcW w:type="dxa" w:w="308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advance, payable, cash or shareholder loan</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TT-23</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تحويل من قيد الإنشاء إلى حق الامتياز</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117001 / 117002 Concession &amp; Operating Right</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the relevant 115xxx CIP accounts</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TT-24</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إطفاء حق الامتياز</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610017 Amortization Expense – Concession Rights</w:t>
            </w:r>
          </w:p>
        </w:tc>
        <w:tc>
          <w:tcPr>
            <w:tcW w:type="dxa" w:w="308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117011 / 117012 Accumulated Amortization</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TT-25</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اقتناء أصل ثابت</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118001–118009</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cash, payable, advance or shareholder loan</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TT-26</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إهلاك الأصول المحتفظ بها</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610016 Depreciation Expense – Retained Assets</w:t>
            </w:r>
          </w:p>
        </w:tc>
        <w:tc>
          <w:tcPr>
            <w:tcW w:type="dxa" w:w="308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118011 Accumulated Depreciation</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TT-27</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إثبات الإيراد</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111xxx cash / bank or 112001 Trade Receivables</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410001–410009</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TT-28</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إثبات حصة الإيراد الحكومية 20٪</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510001 Government Revenue Share – 20%</w:t>
            </w:r>
          </w:p>
        </w:tc>
        <w:tc>
          <w:tcPr>
            <w:tcW w:type="dxa" w:w="308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213001 State Company for Land Transport – 20% Share Payable</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TT-29</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دفع حصة الحكومة</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213001</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111xxx cash or bank</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TT-30</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استحقاق مصروف</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510xxx / 610xxx</w:t>
            </w:r>
          </w:p>
        </w:tc>
        <w:tc>
          <w:tcPr>
            <w:tcW w:type="dxa" w:w="308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211010 Accrued Expenses or 211011 Salaries Payable</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TT-31</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إثبات وإطفاء المصروف المدفوع مقدماً</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On payment: Dr 113001–113009 / on release: Dr 510xxx or 610xxx</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On payment: Cr cash or payable / on release: Cr 113xxx</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TT-32</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عجز نقدي إلى الحساب الوسيط</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112090 Suspense &amp; Clearing Account</w:t>
            </w:r>
          </w:p>
        </w:tc>
        <w:tc>
          <w:tcPr>
            <w:tcW w:type="dxa" w:w="308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the advance or cash account</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TT-33</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تصفية الحساب الوسيط</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the final account</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112090</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TT-34</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إعادة تبويب</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the correct account</w:t>
            </w:r>
          </w:p>
        </w:tc>
        <w:tc>
          <w:tcPr>
            <w:tcW w:type="dxa" w:w="308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the account originally debited</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TT-35</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عكس قيد</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Mirror of the original credit side</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Mirror of the original debit side</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TT-36</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مساهمة رأسمالية وتسجيلها</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On contribution: Dr cash / on registration: Dr 310010</w:t>
            </w:r>
          </w:p>
        </w:tc>
        <w:tc>
          <w:tcPr>
            <w:tcW w:type="dxa" w:w="308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On contribution: Cr 310010 / on registration: Cr 310001–310004</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TT-37</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سداد أو تحويل قرض مساهم</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221001–221004</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111xxx on repayment, or 310010 on conversion</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TT-38</w:t>
            </w:r>
          </w:p>
        </w:tc>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ترحيل نتيجة الفترة</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310040 Current-Year Result (or Cr where a loss)</w:t>
            </w:r>
          </w:p>
        </w:tc>
        <w:tc>
          <w:tcPr>
            <w:tcW w:type="dxa" w:w="308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310030 Retained Earnings (or Dr where a loss)</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TT-39</w:t>
            </w:r>
          </w:p>
        </w:tc>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قيد افتتاحي / ترحيل</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Per the migrated entry</w:t>
            </w:r>
          </w:p>
        </w:tc>
        <w:tc>
          <w:tcPr>
            <w:tcW w:type="dxa" w:w="308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Per the migrated entry</w:t>
            </w:r>
          </w:p>
        </w:tc>
      </w:tr>
    </w:tbl>
    <w:p>
      <w:r>
        <w:br w:type="page"/>
      </w:r>
    </w:p>
    <w:p>
      <w:pPr>
        <w:pStyle w:val="Heading1"/>
        <w:bidi/>
        <w:spacing w:after="120" w:before="360"/>
        <w:jc w:val="right"/>
      </w:pPr>
      <w:r>
        <w:rPr>
          <w:rFonts w:ascii="Arial" w:cs="Arial" w:eastAsia="Arial" w:hAnsi="Arial"/>
          <w:b/>
          <w:bCs/>
          <w:color w:val="1F3864"/>
          <w:sz w:val="30"/>
          <w:szCs w:val="30"/>
          <w:rtl/>
        </w:rPr>
        <w:t xml:space="preserve">9 · المتطلبات الوظيفية</w:t>
      </w:r>
    </w:p>
    <w:p>
      <w:pPr>
        <w:spacing w:after="160"/>
        <w:jc w:val="right"/>
      </w:pPr>
      <w:r>
        <w:rPr>
          <w:rFonts w:ascii="Arial" w:cs="Arial" w:eastAsia="Arial" w:hAnsi="Arial"/>
          <w:i/>
          <w:iCs/>
          <w:color w:val="2E5C8A"/>
          <w:sz w:val="18"/>
          <w:szCs w:val="18"/>
        </w:rPr>
        <w:t xml:space="preserve">Functional Requirements</w:t>
      </w: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749"/>
        <w:gridCol w:w="1872"/>
        <w:gridCol w:w="6739"/>
      </w:tblGrid>
      <w:tr>
        <w:trPr>
          <w:tblHeader/>
        </w:trPr>
        <w:tc>
          <w:tcPr>
            <w:tcW w:type="dxa" w:w="749"/>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البند</w:t>
            </w:r>
          </w:p>
        </w:tc>
        <w:tc>
          <w:tcPr>
            <w:tcW w:type="dxa" w:w="1872"/>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الموضوع</w:t>
            </w:r>
          </w:p>
        </w:tc>
        <w:tc>
          <w:tcPr>
            <w:tcW w:type="dxa" w:w="6739"/>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المتطلب</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9-1</w:t>
            </w:r>
          </w:p>
        </w:tc>
        <w:tc>
          <w:tcPr>
            <w:tcW w:type="dxa" w:w="187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شجرة الحسابات</w:t>
            </w:r>
          </w:p>
        </w:tc>
        <w:tc>
          <w:tcPr>
            <w:tcW w:type="dxa" w:w="673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يحتفظ النظام بشجرة حسابات معتمدة واحدة قوامها 145 حساباً، بكل من رمز الحساب والاسم العربي والاسم الإنجليزي ونوع الحساب والحساب الأب ومستواه وخاصية التسجيل وخاصية النشاط وطبيعة الرصيد وتصنيف القائمة المالية ومجموعة التقرير ومؤشر الحساب النقدي ومؤشر الحساب الرقابي. ويُمنع الترحيل إلى الحسابات غير النشطة وإلى الحسابات الأب غير المخصصة للتسجيل (112100 و115030). وكل تعديل على الشجرة يخضع للاعتماد ويُسجَّل في أثر التدقيق بقيمته السابقة والجديدة.</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9-2</w:t>
            </w:r>
          </w:p>
        </w:tc>
        <w:tc>
          <w:tcPr>
            <w:tcW w:type="dxa" w:w="187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بنية القيد</w:t>
            </w:r>
          </w:p>
        </w:tc>
        <w:tc>
          <w:tcPr>
            <w:tcW w:type="dxa" w:w="673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يسجّل النظام رأس قيد واحداً لكل حركة، يحمل عدداً غير محدود من السطور المدينة والدائنة، ويدعم صور القيد الأربع: مدين واحد ودائن واحد، ومدين واحد وعدة دائنين، وعدة مدينين ودائن واحد، وعدة مدينين وعدة دائنين. ويُشترط تساوي إجمالي المدين مع إجمالي الدائن قبل الترحيل. ويجوز أن تُقدَّم للمستخدم شاشة مبسّطة بحسابين للحركات الاعتيادية، على أن تُخزَّن في البنية المعيارية نفسها.</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9-3</w:t>
            </w:r>
          </w:p>
        </w:tc>
        <w:tc>
          <w:tcPr>
            <w:tcW w:type="dxa" w:w="187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الأبعاد التحليلية</w:t>
            </w:r>
          </w:p>
        </w:tc>
        <w:tc>
          <w:tcPr>
            <w:tcW w:type="dxa" w:w="673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تُفصَل الحسابات عن الأبعاد. ويحمل كل سطر قيد: المشروع ومركز التكلفة إلزاماً، ومركز المسؤولية والطرف المقابل وصاحب العهدة والحساب النقدي ومصدر التمويل ودفعة التمويل وتصنيف التمويل وخطوة السلسلة والعقد وحزمة العمل والتصنيف الرأسمالي أو التشغيلي وتصنيف الأصل ومتطلب التسليم حسب حالة الحركة. ويوضّح النظام لكل نوع حركة ما هو إلزامي وما هو اختياري وما هو شرطي وما هو مولَّد آلياً.</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9-4</w:t>
            </w:r>
          </w:p>
        </w:tc>
        <w:tc>
          <w:tcPr>
            <w:tcW w:type="dxa" w:w="187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السلف والعهد</w:t>
            </w:r>
          </w:p>
        </w:tc>
        <w:tc>
          <w:tcPr>
            <w:tcW w:type="dxa" w:w="673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لا يُعتبر صرف السلفة مصروفاً. ويُعترف بالنفقة الرأسمالية أو التشغيلية عند التسوية المستندية المعتمدة فقط. ويحمل سجل السلفة: صاحبها والمشروع ومركز المسؤولية والغرض والمبلغ وتاريخ الصرف وتاريخ استحقاق التسوية والمبلغ المُسوّى والمبلغ القائم والمستندات المؤيدة وقيود التسوية واسترداد النقد غير المستخدم وإعادة التصنيف وأعمار السلفة. وتُقيَّد التسوية دائماً بجعل حساب السلفة دائناً.</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9-5</w:t>
            </w:r>
          </w:p>
        </w:tc>
        <w:tc>
          <w:tcPr>
            <w:tcW w:type="dxa" w:w="187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تمويل المساهمين</w:t>
            </w:r>
          </w:p>
        </w:tc>
        <w:tc>
          <w:tcPr>
            <w:tcW w:type="dxa" w:w="673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يميّز النظام بين مصدر التمويل والمالك المحاسبي القانوني للتمويل ومصدر الدفع الفعلي والنقد المستلم لدى الشركة والدفع المباشر نيابة عنها، وبين المساهمة الرأسمالية وقرض المساهم والحساب الجاري والسداد والتحويل إلى رأس المال. ويُمنع الاعتراف بالتمويل إيراداً، ويُمنع تخفيض قرض المساهم بالإنفاق.</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9-6</w:t>
            </w:r>
          </w:p>
        </w:tc>
        <w:tc>
          <w:tcPr>
            <w:tcW w:type="dxa" w:w="187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المقاولون والموردون</w:t>
            </w:r>
          </w:p>
        </w:tc>
        <w:tc>
          <w:tcPr>
            <w:tcW w:type="dxa" w:w="673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يوفّر النظام أستاذاً مساعداً لكل مقاول ومورد يعرض قيمة العقد والملاحق وأوامر التغيير والأعمال المصدّقة والفواتير والسلف واستقطاعاتها والمحتجزات والاستقطاعات والضرائب والغرامات والمدفوعات والمبالغ المستحقة والذمة القائمة والالتزام المتبقي، ويطابقه مع الحسابات الرقابية في الأستاذ العام ويُظهر الفرق.</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9-7</w:t>
            </w:r>
          </w:p>
        </w:tc>
        <w:tc>
          <w:tcPr>
            <w:tcW w:type="dxa" w:w="187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الامتياز والأصول قيد الإنشاء</w:t>
            </w:r>
          </w:p>
        </w:tc>
        <w:tc>
          <w:tcPr>
            <w:tcW w:type="dxa" w:w="673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يحتفظ النظام بسجل لأصول الامتياز قيد الإنشاء لكل حساب ولكل مشروع، بالرصيد الافتتاحي والإضافات والتحويلات والرصيد الختامي وتصنيف التسليم. ويُوقَف تحويل الكلف إلى حق الامتياز وكذلك الإطفاء إلى حين تحديد تاريخ التشغيل التجاري من مستخدم مخوَّل، ولا يجوز للنظام استنتاج ذلك التاريخ.</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9-8</w:t>
            </w:r>
          </w:p>
        </w:tc>
        <w:tc>
          <w:tcPr>
            <w:tcW w:type="dxa" w:w="187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الإيراد وحصة الحكومة</w:t>
            </w:r>
          </w:p>
        </w:tc>
        <w:tc>
          <w:tcPr>
            <w:tcW w:type="dxa" w:w="673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يُسجَّل الإيراد في حساباته المخصصة فقط، ويحمل كل سطر إيراد مؤشر الأهلية لحصة الحكومة. وتُحتسب الحصة على الإيراد المؤهل فقط بنسبة مأخوذة من جدول المعاملات بتأريخ سريان، ولا تُكتب النسبة داخل شيفرة البرنامج. وتُعترف الحصة التزاماً وتُعرض بنداً في قائمة الأرباح والخسائر، مع تقرير مطابقة بين المستحق والمعترف به والمدفوع والرصيد القائم.</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9-9</w:t>
            </w:r>
          </w:p>
        </w:tc>
        <w:tc>
          <w:tcPr>
            <w:tcW w:type="dxa" w:w="187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ميزان المراجعة</w:t>
            </w:r>
          </w:p>
        </w:tc>
        <w:tc>
          <w:tcPr>
            <w:tcW w:type="dxa" w:w="673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يُولَّد ميزان المراجعة آلياً بالكامل ويعرض رمز الحساب والاسمين العربي والإنجليزي والمدين والدائن الافتتاحي ومدين ودائن الفترة والمدين والدائن الختامي، مع مجاميع فرعية للمجموعات وثلاثة إثباتات توازن. ولا يُستخدم أي قيد موازنة يدوي لإجبار الميزان على التوازن بأي حال.</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9-10</w:t>
            </w:r>
          </w:p>
        </w:tc>
        <w:tc>
          <w:tcPr>
            <w:tcW w:type="dxa" w:w="187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القوائم المالية</w:t>
            </w:r>
          </w:p>
        </w:tc>
        <w:tc>
          <w:tcPr>
            <w:tcW w:type="dxa" w:w="673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تُشتق كل القوائم من خريطة ربط تصل الحساب ببند القائمة وإشارة العرض وترتيب الظهور، وتُدار الخريطة عبر تهيئة مضبوطة. ولا يجوز للمبرمج أن يكتب أي رقم من أرقام القوائم المالية داخل الشيفرة.</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9-11</w:t>
            </w:r>
          </w:p>
        </w:tc>
        <w:tc>
          <w:tcPr>
            <w:tcW w:type="dxa" w:w="187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التنقل التفصيلي</w:t>
            </w:r>
          </w:p>
        </w:tc>
        <w:tc>
          <w:tcPr>
            <w:tcW w:type="dxa" w:w="673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يدعم النظام التنقل من القائمة المالية إلى ميزان المراجعة إلى أستاذ الحساب إلى القيد إلى المستند المؤيد، مع انتقال مجموعة المرشحات من التقرير الأعلى إلى التقرير الأدنى.</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9-12</w:t>
            </w:r>
          </w:p>
        </w:tc>
        <w:tc>
          <w:tcPr>
            <w:tcW w:type="dxa" w:w="187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المستندات</w:t>
            </w:r>
          </w:p>
        </w:tc>
        <w:tc>
          <w:tcPr>
            <w:tcW w:type="dxa" w:w="673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تدعم القيود إرفاق الأدلة بأنواعها، وتأخذ حالة المستند إحدى القيم: مكتمل أو جزئي أو مفقود. ولا تختفي المستندات الناقصة من التقارير، بل تبقى ظاهرة في تقارير الاستثناءات والالتزام إلى أن يرد المستند.</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9-13</w:t>
            </w:r>
          </w:p>
        </w:tc>
        <w:tc>
          <w:tcPr>
            <w:tcW w:type="dxa" w:w="187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دورة الاعتماد</w:t>
            </w:r>
          </w:p>
        </w:tc>
        <w:tc>
          <w:tcPr>
            <w:tcW w:type="dxa" w:w="673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تمرّ الحركة بالحالات: مسودة ثم مقدَّمة ثم مراجَعة ثم معتمَدة ثم مرحَّلة. وبعد الترحيل لا يجوز تعديل القيد ولا حذفه، ويتم التصحيح عبر العكس أو التسوية المضبوطة مع حفظ الأثر الكامل.</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9-14</w:t>
            </w:r>
          </w:p>
        </w:tc>
        <w:tc>
          <w:tcPr>
            <w:tcW w:type="dxa" w:w="187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الفترات المحاسبية</w:t>
            </w:r>
          </w:p>
        </w:tc>
        <w:tc>
          <w:tcPr>
            <w:tcW w:type="dxa" w:w="673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يدعم النظام فترات محاسبية رسمية بحالات: مفتوحة ثم إقفال مبدئي ثم إقفال نهائي ثم مقفلة، مع إعادة فتح بصلاحية وسبب مكتوب. ويُرفض أي ترحيل إلى فترة مقفلة.</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9-15</w:t>
            </w:r>
          </w:p>
        </w:tc>
        <w:tc>
          <w:tcPr>
            <w:tcW w:type="dxa" w:w="187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الرقابة على الازدواجية</w:t>
            </w:r>
          </w:p>
        </w:tc>
        <w:tc>
          <w:tcPr>
            <w:tcW w:type="dxa" w:w="673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يختبر النظام كل حركة عند الحفظ مقابل الحركات المرحّلة على أساس المبلغ والطرف المقابل والفترة، وعلى أساس مرجع المصدر، وعلى أساس المبلغ مع تقارب التاريخ. ويستلزم أي تطابق قراراً موثّقاً قبل الترحيل، ولا يُحذف التأشير بأي حال.</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9-16</w:t>
            </w:r>
          </w:p>
        </w:tc>
        <w:tc>
          <w:tcPr>
            <w:tcW w:type="dxa" w:w="187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سجل الاستثناءات</w:t>
            </w:r>
          </w:p>
        </w:tc>
        <w:tc>
          <w:tcPr>
            <w:tcW w:type="dxa" w:w="673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يحتفظ النظام بسجل استثناءات يبقى فيه كل بند غير محسوم ظاهراً بقيمته الحقيقية. ولا يُحذف استثناء ولا يُقاصّ ولا يُقحَم في حساب، ويُغلق فقط بقرار وحل موثّقين.</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9-17</w:t>
            </w:r>
          </w:p>
        </w:tc>
        <w:tc>
          <w:tcPr>
            <w:tcW w:type="dxa" w:w="187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أثر التدقيق</w:t>
            </w:r>
          </w:p>
        </w:tc>
        <w:tc>
          <w:tcPr>
            <w:tcW w:type="dxa" w:w="673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يسجّل النظام لكل حركة وكل تعديل: من أنشأ ومتى، ومن عدّل ومتى، ومن قدّم ومن راجع ومن اعتمد ومن رحّل ومن عكس، وسبب التغيير والقيمة السابقة والقيمة الجديدة. ويشمل ذلك القيود وشجرة الحسابات والبيانات الرئيسية وخرائط الربط وأرصدة المطابقة وأقفال الفترات والاعتمادات.</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9-18</w:t>
            </w:r>
          </w:p>
        </w:tc>
        <w:tc>
          <w:tcPr>
            <w:tcW w:type="dxa" w:w="187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الصلاحيات</w:t>
            </w:r>
          </w:p>
        </w:tc>
        <w:tc>
          <w:tcPr>
            <w:tcW w:type="dxa" w:w="673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يطبّق النظام صلاحيات قائمة على الأدوار عبر ثمانية أدوار وسبع عشرة صلاحية، ويفصل المُعِد عن المراجع، ولا يمنح مستخدماً واحداً صلاحية غير مضبوطة من طرف إلى طرف.</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9-19</w:t>
            </w:r>
          </w:p>
        </w:tc>
        <w:tc>
          <w:tcPr>
            <w:tcW w:type="dxa" w:w="1872"/>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الترحيل من Excel</w:t>
            </w:r>
          </w:p>
        </w:tc>
        <w:tc>
          <w:tcPr>
            <w:tcW w:type="dxa" w:w="6739"/>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يُرحَّل السجل التاريخي من الملف المعتمد دون أي تغيير في التواريخ أو المبالغ أو البيانات أو التصنيفات أو الاستثناءات، ولا يُقبل النظام قبل مطابقة البيانات المرحّلة مع المصدر المعتمد وفق ثلاثين ضابط مطابقة.</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9-20</w:t>
            </w:r>
          </w:p>
        </w:tc>
        <w:tc>
          <w:tcPr>
            <w:tcW w:type="dxa" w:w="1872"/>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الواجهة والتنسيق</w:t>
            </w:r>
          </w:p>
        </w:tc>
        <w:tc>
          <w:tcPr>
            <w:tcW w:type="dxa" w:w="6739"/>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تدعم الواجهة العربية من اليمين إلى اليسار دعماً كاملاً، وتوفّر البحث والتصفية والفرز والتنقل التفصيلي والتصدير إلى Excel وPDF والطباعة ومرشحات التواريخ والعروض المحفوظة. وتُعرض القيم بالدينار العراقي بدون كسور وفق السياسة المحاسبية السارية.</w:t>
            </w:r>
          </w:p>
        </w:tc>
      </w:tr>
    </w:tbl>
    <w:p>
      <w:r>
        <w:br w:type="page"/>
      </w:r>
    </w:p>
    <w:p>
      <w:pPr>
        <w:pStyle w:val="Heading1"/>
        <w:bidi/>
        <w:spacing w:after="120" w:before="360"/>
        <w:jc w:val="right"/>
      </w:pPr>
      <w:r>
        <w:rPr>
          <w:rFonts w:ascii="Arial" w:cs="Arial" w:eastAsia="Arial" w:hAnsi="Arial"/>
          <w:b/>
          <w:bCs/>
          <w:color w:val="1F3864"/>
          <w:sz w:val="30"/>
          <w:szCs w:val="30"/>
          <w:rtl/>
        </w:rPr>
        <w:t xml:space="preserve">10 · التقارير المالية والإدارية</w:t>
      </w:r>
    </w:p>
    <w:p>
      <w:pPr>
        <w:spacing w:after="160"/>
        <w:jc w:val="right"/>
      </w:pPr>
      <w:r>
        <w:rPr>
          <w:rFonts w:ascii="Arial" w:cs="Arial" w:eastAsia="Arial" w:hAnsi="Arial"/>
          <w:i/>
          <w:iCs/>
          <w:color w:val="2E5C8A"/>
          <w:sz w:val="18"/>
          <w:szCs w:val="18"/>
        </w:rPr>
        <w:t xml:space="preserve">Financial &amp; Management Reports</w:t>
      </w:r>
    </w:p>
    <w:p>
      <w:pPr>
        <w:bidi/>
        <w:spacing w:after="140" w:line="300"/>
        <w:jc w:val="both"/>
      </w:pPr>
      <w:r>
        <w:rPr>
          <w:rFonts w:ascii="Arial" w:cs="Arial" w:eastAsia="Arial" w:hAnsi="Arial"/>
          <w:sz w:val="21"/>
          <w:szCs w:val="21"/>
          <w:rtl/>
        </w:rPr>
        <w:t xml:space="preserve">تُبنى التقارير جميعها من المسار نفسه: المرشحات، ثم نطاق الصلاحية، ثم التجميع فوق سطور القيود المرحّلة، ثم خريطة الربط، ثم المجاميع الفرعية، ثم الضوابط، ثم مفاتيح التنقل التفصيلي، ثم العرض أو التصدير. ولا تقرأ أي خطوة رصيداً مخزّناً.</w:t>
      </w:r>
    </w:p>
    <w:p>
      <w:pPr>
        <w:spacing w:after="100"/>
      </w:pPr>
    </w:p>
    <w:tbl>
      <w:tblPr>
        <w:bidiVisual/>
        <w:tblW w:type="dxa" w:w="9360"/>
        <w:tblBorders>
          <w:top w:val="single" w:color="D6B656" w:sz="4"/>
          <w:left w:val="single" w:color="D6B656" w:sz="18"/>
          <w:bottom w:val="single" w:color="D6B656" w:sz="4"/>
          <w:right w:val="single" w:color="D6B656" w:sz="4"/>
          <w:insideH w:val="none"/>
          <w:insideV w:val="none"/>
        </w:tblBorders>
      </w:tblPr>
      <w:tblGrid>
        <w:gridCol w:w="9360"/>
      </w:tblGrid>
      <w:tr>
        <w:tc>
          <w:tcPr>
            <w:tcW w:type="dxa" w:w="9360"/>
            <w:shd w:fill="FFF2CC" w:val="clear"/>
            <w:tcMar>
              <w:top w:type="dxa" w:w="120"/>
              <w:left w:type="dxa" w:w="140"/>
              <w:bottom w:type="dxa" w:w="120"/>
              <w:right w:type="dxa" w:w="140"/>
            </w:tcMar>
          </w:tcPr>
          <w:p>
            <w:pPr>
              <w:bidi/>
              <w:spacing w:line="300"/>
              <w:jc w:val="both"/>
            </w:pPr>
            <w:r>
              <w:rPr>
                <w:rFonts w:ascii="Arial" w:cs="Arial" w:eastAsia="Arial" w:hAnsi="Arial"/>
                <w:b/>
                <w:bCs/>
                <w:color w:val="7F6000"/>
                <w:sz w:val="21"/>
                <w:szCs w:val="21"/>
                <w:rtl/>
              </w:rPr>
              <w:t xml:space="preserve">تمييز جوهري: «قائمة التدفقات النقدية النظامية» و«ملخص التمويل والحركة النقدية الإدارية» تقريران مختلفان بمنهجين مختلفين، ويجب أن يظهرا بمسميين مختلفين على الشاشة وفي التصدير. الخلط بينهما خطأ فني ومحاسبي.</w:t>
            </w:r>
          </w:p>
        </w:tc>
      </w:tr>
    </w:tbl>
    <w:p>
      <w:pPr>
        <w:spacing w:after="140"/>
      </w:pP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842"/>
        <w:gridCol w:w="2808"/>
        <w:gridCol w:w="3370"/>
        <w:gridCol w:w="2340"/>
      </w:tblGrid>
      <w:tr>
        <w:trPr>
          <w:tblHeader/>
        </w:trPr>
        <w:tc>
          <w:tcPr>
            <w:tcW w:type="dxa" w:w="842"/>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الرمز</w:t>
            </w:r>
          </w:p>
        </w:tc>
        <w:tc>
          <w:tcPr>
            <w:tcW w:type="dxa" w:w="2808"/>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التقرير</w:t>
            </w:r>
          </w:p>
        </w:tc>
        <w:tc>
          <w:tcPr>
            <w:tcW w:type="dxa" w:w="3370"/>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الاسم الإنجليزي</w:t>
            </w:r>
          </w:p>
        </w:tc>
        <w:tc>
          <w:tcPr>
            <w:tcW w:type="dxa" w:w="2340"/>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الوحدة</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RPT-01</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شجرة الحسابات</w:t>
            </w:r>
          </w:p>
        </w:tc>
        <w:tc>
          <w:tcPr>
            <w:tcW w:type="dxa" w:w="337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Chart of Accounts</w:t>
            </w:r>
          </w:p>
        </w:tc>
        <w:tc>
          <w:tcPr>
            <w:tcW w:type="dxa" w:w="234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Master Data</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RPT-02</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سجل البيانات الرئيسية</w:t>
            </w:r>
          </w:p>
        </w:tc>
        <w:tc>
          <w:tcPr>
            <w:tcW w:type="dxa" w:w="337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Master Data Register</w:t>
            </w:r>
          </w:p>
        </w:tc>
        <w:tc>
          <w:tcPr>
            <w:tcW w:type="dxa" w:w="234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Master Data</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RPT-03</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تقرير القيود</w:t>
            </w:r>
          </w:p>
        </w:tc>
        <w:tc>
          <w:tcPr>
            <w:tcW w:type="dxa" w:w="337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Journal Report</w:t>
            </w:r>
          </w:p>
        </w:tc>
        <w:tc>
          <w:tcPr>
            <w:tcW w:type="dxa" w:w="234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Journal</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RPT-04</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ميزان المراجعة</w:t>
            </w:r>
          </w:p>
        </w:tc>
        <w:tc>
          <w:tcPr>
            <w:tcW w:type="dxa" w:w="337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Trial Balance</w:t>
            </w:r>
          </w:p>
        </w:tc>
        <w:tc>
          <w:tcPr>
            <w:tcW w:type="dxa" w:w="234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Reporting</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RPT-05</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أستاذ الحساب</w:t>
            </w:r>
          </w:p>
        </w:tc>
        <w:tc>
          <w:tcPr>
            <w:tcW w:type="dxa" w:w="337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Account Ledger (drill-down)</w:t>
            </w:r>
          </w:p>
        </w:tc>
        <w:tc>
          <w:tcPr>
            <w:tcW w:type="dxa" w:w="234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Reporting</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RPT-06</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قائمة المركز المالي</w:t>
            </w:r>
          </w:p>
        </w:tc>
        <w:tc>
          <w:tcPr>
            <w:tcW w:type="dxa" w:w="337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Statement of Financial Position</w:t>
            </w:r>
          </w:p>
        </w:tc>
        <w:tc>
          <w:tcPr>
            <w:tcW w:type="dxa" w:w="234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Financial Statements</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RPT-07</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قائمة الأرباح والخسائر</w:t>
            </w:r>
          </w:p>
        </w:tc>
        <w:tc>
          <w:tcPr>
            <w:tcW w:type="dxa" w:w="337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Profit &amp; Loss Statement</w:t>
            </w:r>
          </w:p>
        </w:tc>
        <w:tc>
          <w:tcPr>
            <w:tcW w:type="dxa" w:w="234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Financial Statements</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RPT-08a</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قائمة التدفقات النقدية النظامية</w:t>
            </w:r>
          </w:p>
        </w:tc>
        <w:tc>
          <w:tcPr>
            <w:tcW w:type="dxa" w:w="337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Cash Flow Statement (statutory)</w:t>
            </w:r>
          </w:p>
        </w:tc>
        <w:tc>
          <w:tcPr>
            <w:tcW w:type="dxa" w:w="234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Financial Statements</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RPT-08b</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ملخص التمويل والحركة النقدية الإدارية</w:t>
            </w:r>
          </w:p>
        </w:tc>
        <w:tc>
          <w:tcPr>
            <w:tcW w:type="dxa" w:w="337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Management Funding &amp; Cash Movement Summary</w:t>
            </w:r>
          </w:p>
        </w:tc>
        <w:tc>
          <w:tcPr>
            <w:tcW w:type="dxa" w:w="234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Management Reporting</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RPT-09</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قائمة التغيرات في حقوق الملكية</w:t>
            </w:r>
          </w:p>
        </w:tc>
        <w:tc>
          <w:tcPr>
            <w:tcW w:type="dxa" w:w="337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Statement of Changes in Equity</w:t>
            </w:r>
          </w:p>
        </w:tc>
        <w:tc>
          <w:tcPr>
            <w:tcW w:type="dxa" w:w="234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Financial Statements</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RPT-10</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الموقف النقدي</w:t>
            </w:r>
          </w:p>
        </w:tc>
        <w:tc>
          <w:tcPr>
            <w:tcW w:type="dxa" w:w="337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Cash Position</w:t>
            </w:r>
          </w:p>
        </w:tc>
        <w:tc>
          <w:tcPr>
            <w:tcW w:type="dxa" w:w="234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Cash Management</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RPT-11</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كشف تمويل المساهمين</w:t>
            </w:r>
          </w:p>
        </w:tc>
        <w:tc>
          <w:tcPr>
            <w:tcW w:type="dxa" w:w="337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Shareholder Funding Statement</w:t>
            </w:r>
          </w:p>
        </w:tc>
        <w:tc>
          <w:tcPr>
            <w:tcW w:type="dxa" w:w="234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Shareholder Funding</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RPT-12</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استخدام التمويل حسب الوجه</w:t>
            </w:r>
          </w:p>
        </w:tc>
        <w:tc>
          <w:tcPr>
            <w:tcW w:type="dxa" w:w="337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Funding Utilisation by Use</w:t>
            </w:r>
          </w:p>
        </w:tc>
        <w:tc>
          <w:tcPr>
            <w:tcW w:type="dxa" w:w="234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Shareholder Funding</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RPT-13</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السلف القائمة</w:t>
            </w:r>
          </w:p>
        </w:tc>
        <w:tc>
          <w:tcPr>
            <w:tcW w:type="dxa" w:w="337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Advances Outstanding</w:t>
            </w:r>
          </w:p>
        </w:tc>
        <w:tc>
          <w:tcPr>
            <w:tcW w:type="dxa" w:w="234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Advances</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RPT-14</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أعمار السلف</w:t>
            </w:r>
          </w:p>
        </w:tc>
        <w:tc>
          <w:tcPr>
            <w:tcW w:type="dxa" w:w="337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Advance Aging</w:t>
            </w:r>
          </w:p>
        </w:tc>
        <w:tc>
          <w:tcPr>
            <w:tcW w:type="dxa" w:w="234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Advances</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RPT-15</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تدقيق تسويات السلف</w:t>
            </w:r>
          </w:p>
        </w:tc>
        <w:tc>
          <w:tcPr>
            <w:tcW w:type="dxa" w:w="337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Advance Settlement Audit</w:t>
            </w:r>
          </w:p>
        </w:tc>
        <w:tc>
          <w:tcPr>
            <w:tcW w:type="dxa" w:w="234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Advances</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RPT-16</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الأستاذ المساعد للمقاولين والموردين</w:t>
            </w:r>
          </w:p>
        </w:tc>
        <w:tc>
          <w:tcPr>
            <w:tcW w:type="dxa" w:w="337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Contractor &amp; Supplier Subledger</w:t>
            </w:r>
          </w:p>
        </w:tc>
        <w:tc>
          <w:tcPr>
            <w:tcW w:type="dxa" w:w="234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Contractors</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RPT-17</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مطابقة المقاولين مع الأستاذ العام</w:t>
            </w:r>
          </w:p>
        </w:tc>
        <w:tc>
          <w:tcPr>
            <w:tcW w:type="dxa" w:w="337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Contractor Reconciliation to GL</w:t>
            </w:r>
          </w:p>
        </w:tc>
        <w:tc>
          <w:tcPr>
            <w:tcW w:type="dxa" w:w="234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Contractors</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RPT-18</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سجل أصول الامتياز قيد الإنشاء</w:t>
            </w:r>
          </w:p>
        </w:tc>
        <w:tc>
          <w:tcPr>
            <w:tcW w:type="dxa" w:w="337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Concession CIP Register</w:t>
            </w:r>
          </w:p>
        </w:tc>
        <w:tc>
          <w:tcPr>
            <w:tcW w:type="dxa" w:w="234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Concession &amp; CIP</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RPT-19</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مطابقة حصة الحكومة</w:t>
            </w:r>
          </w:p>
        </w:tc>
        <w:tc>
          <w:tcPr>
            <w:tcW w:type="dxa" w:w="337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Government Share Reconciliation</w:t>
            </w:r>
          </w:p>
        </w:tc>
        <w:tc>
          <w:tcPr>
            <w:tcW w:type="dxa" w:w="234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Revenue &amp; Government Share</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RPT-20</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رقابة سلسلة التمويل</w:t>
            </w:r>
          </w:p>
        </w:tc>
        <w:tc>
          <w:tcPr>
            <w:tcW w:type="dxa" w:w="337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Funding Chain Control</w:t>
            </w:r>
          </w:p>
        </w:tc>
        <w:tc>
          <w:tcPr>
            <w:tcW w:type="dxa" w:w="234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Controls</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RPT-21</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سجل الفروقات المفتوحة</w:t>
            </w:r>
          </w:p>
        </w:tc>
        <w:tc>
          <w:tcPr>
            <w:tcW w:type="dxa" w:w="337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Open Differences Register</w:t>
            </w:r>
          </w:p>
        </w:tc>
        <w:tc>
          <w:tcPr>
            <w:tcW w:type="dxa" w:w="234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Controls</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RPT-22</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سجل الازدواجية</w:t>
            </w:r>
          </w:p>
        </w:tc>
        <w:tc>
          <w:tcPr>
            <w:tcW w:type="dxa" w:w="337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Duplicate Register</w:t>
            </w:r>
          </w:p>
        </w:tc>
        <w:tc>
          <w:tcPr>
            <w:tcW w:type="dxa" w:w="234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Controls</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RPT-23</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سجل القيود غير المرحّلة والمعلقة</w:t>
            </w:r>
          </w:p>
        </w:tc>
        <w:tc>
          <w:tcPr>
            <w:tcW w:type="dxa" w:w="337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Unposted &amp; Review-Required Register</w:t>
            </w:r>
          </w:p>
        </w:tc>
        <w:tc>
          <w:tcPr>
            <w:tcW w:type="dxa" w:w="234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Controls</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RPT-24</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الاستثناءات والمستندات الناقصة</w:t>
            </w:r>
          </w:p>
        </w:tc>
        <w:tc>
          <w:tcPr>
            <w:tcW w:type="dxa" w:w="337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Exceptions &amp; Missing Documents</w:t>
            </w:r>
          </w:p>
        </w:tc>
        <w:tc>
          <w:tcPr>
            <w:tcW w:type="dxa" w:w="234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Controls</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RPT-25</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سجل العقود</w:t>
            </w:r>
          </w:p>
        </w:tc>
        <w:tc>
          <w:tcPr>
            <w:tcW w:type="dxa" w:w="337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Contract Register</w:t>
            </w:r>
          </w:p>
        </w:tc>
        <w:tc>
          <w:tcPr>
            <w:tcW w:type="dxa" w:w="234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Contracts</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RPT-26</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سجل التغييرات وإعادة التبويب</w:t>
            </w:r>
          </w:p>
        </w:tc>
        <w:tc>
          <w:tcPr>
            <w:tcW w:type="dxa" w:w="337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Change &amp; Reclassification Log</w:t>
            </w:r>
          </w:p>
        </w:tc>
        <w:tc>
          <w:tcPr>
            <w:tcW w:type="dxa" w:w="234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Audit</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RPT-27</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لوحة المؤشرات التنفيذية</w:t>
            </w:r>
          </w:p>
        </w:tc>
        <w:tc>
          <w:tcPr>
            <w:tcW w:type="dxa" w:w="337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Executive Dashboard</w:t>
            </w:r>
          </w:p>
        </w:tc>
        <w:tc>
          <w:tcPr>
            <w:tcW w:type="dxa" w:w="234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Management Reporting</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RPT-28</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حالة الإقفال الشهري</w:t>
            </w:r>
          </w:p>
        </w:tc>
        <w:tc>
          <w:tcPr>
            <w:tcW w:type="dxa" w:w="337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Monthly Closing Status</w:t>
            </w:r>
          </w:p>
        </w:tc>
        <w:tc>
          <w:tcPr>
            <w:tcW w:type="dxa" w:w="234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Period Management</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RPT-29</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مطابقة ترحيل البيانات</w:t>
            </w:r>
          </w:p>
        </w:tc>
        <w:tc>
          <w:tcPr>
            <w:tcW w:type="dxa" w:w="337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Migration Reconciliation</w:t>
            </w:r>
          </w:p>
        </w:tc>
        <w:tc>
          <w:tcPr>
            <w:tcW w:type="dxa" w:w="234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Migration</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RPT-30</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كلفة المشروع حتى تاريخه</w:t>
            </w:r>
          </w:p>
        </w:tc>
        <w:tc>
          <w:tcPr>
            <w:tcW w:type="dxa" w:w="337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Project Cost to Date</w:t>
            </w:r>
          </w:p>
        </w:tc>
        <w:tc>
          <w:tcPr>
            <w:tcW w:type="dxa" w:w="234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Management Reporting</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RPT-31</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قائمة الأرباح والخسائر المقارنة</w:t>
            </w:r>
          </w:p>
        </w:tc>
        <w:tc>
          <w:tcPr>
            <w:tcW w:type="dxa" w:w="337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Comparative P&amp;L</w:t>
            </w:r>
          </w:p>
        </w:tc>
        <w:tc>
          <w:tcPr>
            <w:tcW w:type="dxa" w:w="234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Management Reporting</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RPT-32</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تقرير أثر التدقيق</w:t>
            </w:r>
          </w:p>
        </w:tc>
        <w:tc>
          <w:tcPr>
            <w:tcW w:type="dxa" w:w="337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Audit Trail Report</w:t>
            </w:r>
          </w:p>
        </w:tc>
        <w:tc>
          <w:tcPr>
            <w:tcW w:type="dxa" w:w="234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Audit</w:t>
            </w:r>
          </w:p>
        </w:tc>
      </w:tr>
    </w:tbl>
    <w:p>
      <w:pPr>
        <w:spacing w:after="160"/>
      </w:pPr>
    </w:p>
    <w:p>
      <w:pPr>
        <w:pStyle w:val="Heading2"/>
        <w:bidi/>
        <w:spacing w:after="120" w:before="260"/>
        <w:jc w:val="right"/>
      </w:pPr>
      <w:r>
        <w:rPr>
          <w:rFonts w:ascii="Arial" w:cs="Arial" w:eastAsia="Arial" w:hAnsi="Arial"/>
          <w:b/>
          <w:bCs/>
          <w:color w:val="1F3864"/>
          <w:sz w:val="25"/>
          <w:szCs w:val="25"/>
          <w:rtl/>
        </w:rPr>
        <w:t xml:space="preserve">10-1 · متطلبات تطوير التقرير المالي</w:t>
      </w:r>
    </w:p>
    <w:p>
      <w:pPr>
        <w:spacing w:after="160"/>
        <w:jc w:val="right"/>
      </w:pPr>
      <w:r>
        <w:rPr>
          <w:rFonts w:ascii="Arial" w:cs="Arial" w:eastAsia="Arial" w:hAnsi="Arial"/>
          <w:i/>
          <w:iCs/>
          <w:color w:val="2E5C8A"/>
          <w:sz w:val="18"/>
          <w:szCs w:val="18"/>
        </w:rPr>
        <w:t xml:space="preserve">Financial Reporting Development Requirements</w:t>
      </w:r>
    </w:p>
    <w:p>
      <w:pPr>
        <w:bidi/>
        <w:spacing w:after="140" w:line="300"/>
        <w:jc w:val="both"/>
      </w:pPr>
      <w:r>
        <w:rPr>
          <w:rFonts w:ascii="Arial" w:cs="Arial" w:eastAsia="Arial" w:hAnsi="Arial"/>
          <w:sz w:val="21"/>
          <w:szCs w:val="21"/>
          <w:rtl/>
        </w:rPr>
        <w:t xml:space="preserve">تُعدّ ورقة القوائم المالية في الملف التوضيحي نقطة بداية لا تصميماً نهائياً. ويجب أن يوفّر محرك التقارير، حيثما كان ذا معنى: الشهر الجاري، والشهر السابق، والمتراكم من بداية السنة، ومتراكم السنة السابقة لنفس الفترة، والعرض على مستوى المشروع، والعرض الإداري، والعرض الموحّد، والانحراف، ونسبة التغير. ولا يجوز اختلاق أي أرقام مقارنة؛ فهذا متطلب قدرة نظامية فقط.</w:t>
      </w:r>
    </w:p>
    <w:p>
      <w:r>
        <w:br w:type="page"/>
      </w:r>
    </w:p>
    <w:p>
      <w:pPr>
        <w:pStyle w:val="Heading1"/>
        <w:bidi/>
        <w:spacing w:after="120" w:before="360"/>
        <w:jc w:val="right"/>
      </w:pPr>
      <w:r>
        <w:rPr>
          <w:rFonts w:ascii="Arial" w:cs="Arial" w:eastAsia="Arial" w:hAnsi="Arial"/>
          <w:b/>
          <w:bCs/>
          <w:color w:val="1F3864"/>
          <w:sz w:val="30"/>
          <w:szCs w:val="30"/>
          <w:rtl/>
        </w:rPr>
        <w:t xml:space="preserve">11 · الضوابط الداخلية</w:t>
      </w:r>
    </w:p>
    <w:p>
      <w:pPr>
        <w:spacing w:after="160"/>
        <w:jc w:val="right"/>
      </w:pPr>
      <w:r>
        <w:rPr>
          <w:rFonts w:ascii="Arial" w:cs="Arial" w:eastAsia="Arial" w:hAnsi="Arial"/>
          <w:i/>
          <w:iCs/>
          <w:color w:val="2E5C8A"/>
          <w:sz w:val="18"/>
          <w:szCs w:val="18"/>
        </w:rPr>
        <w:t xml:space="preserve">Internal Controls</w:t>
      </w:r>
    </w:p>
    <w:p>
      <w:pPr>
        <w:bidi/>
        <w:spacing w:after="140" w:line="300"/>
        <w:jc w:val="both"/>
      </w:pPr>
      <w:r>
        <w:rPr>
          <w:rFonts w:ascii="Arial" w:cs="Arial" w:eastAsia="Arial" w:hAnsi="Arial"/>
          <w:sz w:val="21"/>
          <w:szCs w:val="21"/>
          <w:rtl/>
        </w:rPr>
        <w:t xml:space="preserve">حُدِّدت ستون قاعدة تحقق ورقابة، ترد كاملة في الورقة 18_Validation_Rules من الوثيقة (ج). وتنقسم من حيث الأثر إلى: قواعد مانعة تمنع إتمام الحركة، وقواعد تحذيرية تستلزم إقراراً، وقواعد آلية تُنشئ سجلاً دون تدخل، وقواعد معمارية تقيّد التصميم نفسه. وفيما يلي أهمها:</w:t>
      </w:r>
    </w:p>
    <w:p>
      <w:pPr>
        <w:spacing w:after="100"/>
      </w:pP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749"/>
        <w:gridCol w:w="1310"/>
        <w:gridCol w:w="5803"/>
        <w:gridCol w:w="1498"/>
      </w:tblGrid>
      <w:tr>
        <w:trPr>
          <w:tblHeader/>
        </w:trPr>
        <w:tc>
          <w:tcPr>
            <w:tcW w:type="dxa" w:w="749"/>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الرمز</w:t>
            </w:r>
          </w:p>
        </w:tc>
        <w:tc>
          <w:tcPr>
            <w:tcW w:type="dxa" w:w="1310"/>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المجال</w:t>
            </w:r>
          </w:p>
        </w:tc>
        <w:tc>
          <w:tcPr>
            <w:tcW w:type="dxa" w:w="5803"/>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القاعدة</w:t>
            </w:r>
          </w:p>
        </w:tc>
        <w:tc>
          <w:tcPr>
            <w:tcW w:type="dxa" w:w="1498"/>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الأثر</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VR-01</w:t>
            </w:r>
          </w:p>
        </w:tc>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Posting</w:t>
            </w:r>
          </w:p>
        </w:tc>
        <w:tc>
          <w:tcPr>
            <w:tcW w:type="dxa" w:w="580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Total debit must equal total credit on every journal header before posting.</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VR-03</w:t>
            </w:r>
          </w:p>
        </w:tc>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Posting</w:t>
            </w:r>
          </w:p>
        </w:tc>
        <w:tc>
          <w:tcPr>
            <w:tcW w:type="dxa" w:w="580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 single journal line may carry a debit or a credit, never both, and never zero.</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VR-04</w:t>
            </w:r>
          </w:p>
        </w:tc>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Master Data</w:t>
            </w:r>
          </w:p>
        </w:tc>
        <w:tc>
          <w:tcPr>
            <w:tcW w:type="dxa" w:w="580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Posting is permitted only to accounts flagged Posting AND Active. Non-posting parents (112100, 115030) and inactive accounts (112031, 112036) are rejected.</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VR-05</w:t>
            </w:r>
          </w:p>
        </w:tc>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Dimensions</w:t>
            </w:r>
          </w:p>
        </w:tc>
        <w:tc>
          <w:tcPr>
            <w:tcW w:type="dxa" w:w="580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Project and cost centre are mandatory on every journal line.</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VR-06</w:t>
            </w:r>
          </w:p>
        </w:tc>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Cash</w:t>
            </w:r>
          </w:p>
        </w:tc>
        <w:tc>
          <w:tcPr>
            <w:tcW w:type="dxa" w:w="580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 cash or bank account (111xxx) may only be used with a cash_account_id, and any line touching 111xxx must carry one.</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VR-07</w:t>
            </w:r>
          </w:p>
        </w:tc>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Advances</w:t>
            </w:r>
          </w:p>
        </w:tc>
        <w:tc>
          <w:tcPr>
            <w:tcW w:type="dxa" w:w="580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 line touching an advance account (112010, 112020, 112021, 112030, 112032, 112035, 112037) must carry an advance holder or counterparty.</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VR-08</w:t>
            </w:r>
          </w:p>
        </w:tc>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Counterparty</w:t>
            </w:r>
          </w:p>
        </w:tc>
        <w:tc>
          <w:tcPr>
            <w:tcW w:type="dxa" w:w="580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 counterparty is mandatory on payable, receivable, advance, shareholder and revenue lines.</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VR-09</w:t>
            </w:r>
          </w:p>
        </w:tc>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Period</w:t>
            </w:r>
          </w:p>
        </w:tc>
        <w:tc>
          <w:tcPr>
            <w:tcW w:type="dxa" w:w="580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Posting into a period whose status is Final Close or Locked is rejected.</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VR-10</w:t>
            </w:r>
          </w:p>
        </w:tc>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Numbering</w:t>
            </w:r>
          </w:p>
        </w:tc>
        <w:tc>
          <w:tcPr>
            <w:tcW w:type="dxa" w:w="580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The journal number is system-generated, unique per entity and fiscal year, and gapless within the sequence.</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VR-13</w:t>
            </w:r>
          </w:p>
        </w:tc>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Documents</w:t>
            </w:r>
          </w:p>
        </w:tc>
        <w:tc>
          <w:tcPr>
            <w:tcW w:type="dxa" w:w="580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Document status is mandatory on every journal header and takes one of Complete, Partial or Missing. Partial and Missing raise an open exception that cannot be closed by deletion.</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Warning + exception</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VR-15</w:t>
            </w:r>
          </w:p>
        </w:tc>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Dates</w:t>
            </w:r>
          </w:p>
        </w:tc>
        <w:tc>
          <w:tcPr>
            <w:tcW w:type="dxa" w:w="580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 historical entry with no date in the source carries date_status = NO DATE IN SOURCE and posts with a null transaction date. The system must never substitute a date.</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 (on fabrication)</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VR-16</w:t>
            </w:r>
          </w:p>
        </w:tc>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Workflow</w:t>
            </w:r>
          </w:p>
        </w:tc>
        <w:tc>
          <w:tcPr>
            <w:tcW w:type="dxa" w:w="580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 user may not approve an entry he created (maker–checker separation).</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VR-17</w:t>
            </w:r>
          </w:p>
        </w:tc>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Workflow</w:t>
            </w:r>
          </w:p>
        </w:tc>
        <w:tc>
          <w:tcPr>
            <w:tcW w:type="dxa" w:w="580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Only a user with the Post permission may post, and only an Approved entry may be posted.</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VR-18</w:t>
            </w:r>
          </w:p>
        </w:tc>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Workflow</w:t>
            </w:r>
          </w:p>
        </w:tc>
        <w:tc>
          <w:tcPr>
            <w:tcW w:type="dxa" w:w="580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 posted entry may not be edited or deleted under any circumstance.</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VR-20</w:t>
            </w:r>
          </w:p>
        </w:tc>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Funding</w:t>
            </w:r>
          </w:p>
        </w:tc>
        <w:tc>
          <w:tcPr>
            <w:tcW w:type="dxa" w:w="580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Shareholder funding may never be credited to a revenue account, and spending project funds may never debit a shareholder loan account.</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VR-21</w:t>
            </w:r>
          </w:p>
        </w:tc>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Funding</w:t>
            </w:r>
          </w:p>
        </w:tc>
        <w:tc>
          <w:tcPr>
            <w:tcW w:type="dxa" w:w="580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 non-shareholder funder may not be credited to 221xxx or 222xxx; 211090 with a counterparty is the only permitted treatment.</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VR-25</w:t>
            </w:r>
          </w:p>
        </w:tc>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Advances</w:t>
            </w:r>
          </w:p>
        </w:tc>
        <w:tc>
          <w:tcPr>
            <w:tcW w:type="dxa" w:w="580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Issuing an advance may not debit an expense, CIP or fixed-asset account.</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VR-26</w:t>
            </w:r>
          </w:p>
        </w:tc>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Advances</w:t>
            </w:r>
          </w:p>
        </w:tc>
        <w:tc>
          <w:tcPr>
            <w:tcW w:type="dxa" w:w="580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When an advance is settled, the advance account must be on the CREDIT side.</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VR-27</w:t>
            </w:r>
          </w:p>
        </w:tc>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Advances</w:t>
            </w:r>
          </w:p>
        </w:tc>
        <w:tc>
          <w:tcPr>
            <w:tcW w:type="dxa" w:w="580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No expense, CIP, fixed-asset or receivable account may ever be credited in order to settle an advance.</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VR-30</w:t>
            </w:r>
          </w:p>
        </w:tc>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Duplicates</w:t>
            </w:r>
          </w:p>
        </w:tc>
        <w:tc>
          <w:tcPr>
            <w:tcW w:type="dxa" w:w="580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On save, the system tests the entry against posted entries on amount + counterparty + period, on source reference, and on amount + near date (±7 days). A match raises a duplicate flag that must be dispositioned before posting.</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 (disposition required)</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VR-38</w:t>
            </w:r>
          </w:p>
        </w:tc>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Master Data</w:t>
            </w:r>
          </w:p>
        </w:tc>
        <w:tc>
          <w:tcPr>
            <w:tcW w:type="dxa" w:w="580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115030 Civil Works is a non-posting parent; postings must use 115031–115039.</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VR-39</w:t>
            </w:r>
          </w:p>
        </w:tc>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Concession</w:t>
            </w:r>
          </w:p>
        </w:tc>
        <w:tc>
          <w:tcPr>
            <w:tcW w:type="dxa" w:w="580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Transfer from CIP to the concession right and any amortization are blocked until the Commercial Operation Date parameter is set by an authorised user.</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VR-43</w:t>
            </w:r>
          </w:p>
        </w:tc>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Government Share</w:t>
            </w:r>
          </w:p>
        </w:tc>
        <w:tc>
          <w:tcPr>
            <w:tcW w:type="dxa" w:w="580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The share percentage is read from the parameter table with its effective date. It may not be hardcoded or entered on the transaction.</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VR-44</w:t>
            </w:r>
          </w:p>
        </w:tc>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Government Share</w:t>
            </w:r>
          </w:p>
        </w:tc>
        <w:tc>
          <w:tcPr>
            <w:tcW w:type="dxa" w:w="580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The share base excludes funding, shareholder loans, asset disposals, refunds and any revenue line flagged not eligible; every exclusion requires a documented reason.</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VR-47</w:t>
            </w:r>
          </w:p>
        </w:tc>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Suspense</w:t>
            </w:r>
          </w:p>
        </w:tc>
        <w:tc>
          <w:tcPr>
            <w:tcW w:type="dxa" w:w="580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Any posting to 112090 automatically opens an exception record with a responsible user.</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Automatic</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VR-49</w:t>
            </w:r>
          </w:p>
        </w:tc>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Reclassification</w:t>
            </w:r>
          </w:p>
        </w:tc>
        <w:tc>
          <w:tcPr>
            <w:tcW w:type="dxa" w:w="580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 reclassification may not credit an advance account a second time; the correction posts Dr correct account / Cr the account originally debited.</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VR-51</w:t>
            </w:r>
          </w:p>
        </w:tc>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Reversal</w:t>
            </w:r>
          </w:p>
        </w:tc>
        <w:tc>
          <w:tcPr>
            <w:tcW w:type="dxa" w:w="580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 posted entry is corrected only by reversal or adjustment, each carrying a reason and a link to the original.</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VR-55</w:t>
            </w:r>
          </w:p>
        </w:tc>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Reporting</w:t>
            </w:r>
          </w:p>
        </w:tc>
        <w:tc>
          <w:tcPr>
            <w:tcW w:type="dxa" w:w="580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Every financial statement figure must be derivable from report_mappings and the general ledger. No report figure may be stored, typed or overridden.</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Architectural</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VR-56</w:t>
            </w:r>
          </w:p>
        </w:tc>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Reporting</w:t>
            </w:r>
          </w:p>
        </w:tc>
        <w:tc>
          <w:tcPr>
            <w:tcW w:type="dxa" w:w="580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The trial balance must prove total debit = total credit on every run; a balancing plug is never generated.</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VR-57</w:t>
            </w:r>
          </w:p>
        </w:tc>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Cash</w:t>
            </w:r>
          </w:p>
        </w:tc>
        <w:tc>
          <w:tcPr>
            <w:tcW w:type="dxa" w:w="580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The Cash Position book balance is always computed from posted transactions; it may never be entered.</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Architectural</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VR-58</w:t>
            </w:r>
          </w:p>
        </w:tc>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Cash</w:t>
            </w:r>
          </w:p>
        </w:tc>
        <w:tc>
          <w:tcPr>
            <w:tcW w:type="dxa" w:w="580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 cash reconciliation requires the actual balance, the source document, the responsible accountant and the reconciliation date; a non-zero variance leaves the account unreconciled.</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VR-59</w:t>
            </w:r>
          </w:p>
        </w:tc>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Exceptions</w:t>
            </w:r>
          </w:p>
        </w:tc>
        <w:tc>
          <w:tcPr>
            <w:tcW w:type="dxa" w:w="580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An exception may be closed only with a resolution and a resolver; it may never be deleted.</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VR-60</w:t>
            </w:r>
          </w:p>
        </w:tc>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Master Data</w:t>
            </w:r>
          </w:p>
        </w:tc>
        <w:tc>
          <w:tcPr>
            <w:tcW w:type="dxa" w:w="580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Changes to the Chart of Accounts require approval and are written to the audit log with previous and new values.</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Blocking</w:t>
            </w:r>
          </w:p>
        </w:tc>
      </w:tr>
    </w:tbl>
    <w:p>
      <w:r>
        <w:br w:type="page"/>
      </w:r>
    </w:p>
    <w:p>
      <w:pPr>
        <w:pStyle w:val="Heading1"/>
        <w:bidi/>
        <w:spacing w:after="120" w:before="360"/>
        <w:jc w:val="right"/>
      </w:pPr>
      <w:r>
        <w:rPr>
          <w:rFonts w:ascii="Arial" w:cs="Arial" w:eastAsia="Arial" w:hAnsi="Arial"/>
          <w:b/>
          <w:bCs/>
          <w:color w:val="1F3864"/>
          <w:sz w:val="30"/>
          <w:szCs w:val="30"/>
          <w:rtl/>
        </w:rPr>
        <w:t xml:space="preserve">12 · الأدوار والصلاحيات</w:t>
      </w:r>
    </w:p>
    <w:p>
      <w:pPr>
        <w:spacing w:after="160"/>
        <w:jc w:val="right"/>
      </w:pPr>
      <w:r>
        <w:rPr>
          <w:rFonts w:ascii="Arial" w:cs="Arial" w:eastAsia="Arial" w:hAnsi="Arial"/>
          <w:i/>
          <w:iCs/>
          <w:color w:val="2E5C8A"/>
          <w:sz w:val="18"/>
          <w:szCs w:val="18"/>
        </w:rPr>
        <w:t xml:space="preserve">User Roles &amp; Permissions</w:t>
      </w:r>
    </w:p>
    <w:p>
      <w:pPr>
        <w:bidi/>
        <w:spacing w:after="140" w:line="300"/>
        <w:jc w:val="both"/>
      </w:pPr>
      <w:r>
        <w:rPr>
          <w:rFonts w:ascii="Arial" w:cs="Arial" w:eastAsia="Arial" w:hAnsi="Arial"/>
          <w:sz w:val="21"/>
          <w:szCs w:val="21"/>
          <w:rtl/>
        </w:rPr>
        <w:t xml:space="preserve">تُمنح الصلاحيات على أساس الدور وتُفرَض في طبقة الخدمات لا في الواجهة فقط. والصلاحيات المعرّفة هي: الاطلاع، والإنشاء، وتعديل المسودة، والتقديم، والمراجعة، والاعتماد، والترحيل، والعكس، وإقفال الفترة، وإعادة فتحها، وتعديل البيانات الرئيسية، وتعديل شجرة الحسابات، وإدارة المعاملات، ومطابقة النقد، وحسم الاستثناءات، وإدارة المستخدمين، والتصدير.</w:t>
      </w:r>
    </w:p>
    <w:p>
      <w:pPr>
        <w:spacing w:after="100"/>
      </w:pP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749"/>
        <w:gridCol w:w="1872"/>
        <w:gridCol w:w="2059"/>
        <w:gridCol w:w="4680"/>
      </w:tblGrid>
      <w:tr>
        <w:trPr>
          <w:tblHeader/>
        </w:trPr>
        <w:tc>
          <w:tcPr>
            <w:tcW w:type="dxa" w:w="749"/>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الرمز</w:t>
            </w:r>
          </w:p>
        </w:tc>
        <w:tc>
          <w:tcPr>
            <w:tcW w:type="dxa" w:w="1872"/>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الدور</w:t>
            </w:r>
          </w:p>
        </w:tc>
        <w:tc>
          <w:tcPr>
            <w:tcW w:type="dxa" w:w="2059"/>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الاسم الإنجليزي</w:t>
            </w:r>
          </w:p>
        </w:tc>
        <w:tc>
          <w:tcPr>
            <w:tcW w:type="dxa" w:w="4680"/>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الوصف</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ROLE-01</w:t>
            </w:r>
          </w:p>
        </w:tc>
        <w:tc>
          <w:tcPr>
            <w:tcW w:type="dxa" w:w="1872"/>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مدير النظام</w:t>
            </w:r>
          </w:p>
        </w:tc>
        <w:tc>
          <w:tcPr>
            <w:tcW w:type="dxa" w:w="205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System Administrator</w:t>
            </w:r>
          </w:p>
        </w:tc>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Technical administration and user management only. Deliberately has NO accounting authority, so that no single user can both administer the system and post to it.</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ROLE-02</w:t>
            </w:r>
          </w:p>
        </w:tc>
        <w:tc>
          <w:tcPr>
            <w:tcW w:type="dxa" w:w="1872"/>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مدخل بيانات محاسبية</w:t>
            </w:r>
          </w:p>
        </w:tc>
        <w:tc>
          <w:tcPr>
            <w:tcW w:type="dxa" w:w="205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Accounting Data Entry</w:t>
            </w:r>
          </w:p>
        </w:tc>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Captures transactions and submits them for review.</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ROLE-03</w:t>
            </w:r>
          </w:p>
        </w:tc>
        <w:tc>
          <w:tcPr>
            <w:tcW w:type="dxa" w:w="1872"/>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محاسب</w:t>
            </w:r>
          </w:p>
        </w:tc>
        <w:tc>
          <w:tcPr>
            <w:tcW w:type="dxa" w:w="205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Accountant</w:t>
            </w:r>
          </w:p>
        </w:tc>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Full transaction preparation, cash reconciliation preparation and exception proposals.</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ROLE-04</w:t>
            </w:r>
          </w:p>
        </w:tc>
        <w:tc>
          <w:tcPr>
            <w:tcW w:type="dxa" w:w="1872"/>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محاسب أقدم / مراجع</w:t>
            </w:r>
          </w:p>
        </w:tc>
        <w:tc>
          <w:tcPr>
            <w:tcW w:type="dxa" w:w="205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Senior Accountant / Reviewer</w:t>
            </w:r>
          </w:p>
        </w:tc>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Reviews entries, maintains master data, performs reconciliations and may soft-close a period. May not review an entry he created.</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ROLE-05</w:t>
            </w:r>
          </w:p>
        </w:tc>
        <w:tc>
          <w:tcPr>
            <w:tcW w:type="dxa" w:w="1872"/>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المدير المالي</w:t>
            </w:r>
          </w:p>
        </w:tc>
        <w:tc>
          <w:tcPr>
            <w:tcW w:type="dxa" w:w="205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Finance Manager</w:t>
            </w:r>
          </w:p>
        </w:tc>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Approves and posts, closes and reopens periods, approves COA changes and parameters. Reopening a period and changing the commercial operation date are separately logged as high-risk actions.</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ROLE-06</w:t>
            </w:r>
          </w:p>
        </w:tc>
        <w:tc>
          <w:tcPr>
            <w:tcW w:type="dxa" w:w="1872"/>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إدارة - اطلاع فقط</w:t>
            </w:r>
          </w:p>
        </w:tc>
        <w:tc>
          <w:tcPr>
            <w:tcW w:type="dxa" w:w="205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Management Read Only</w:t>
            </w:r>
          </w:p>
        </w:tc>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Dashboard, financial statements and management reports with drill-down; no transactional access.</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ROLE-07</w:t>
            </w:r>
          </w:p>
        </w:tc>
        <w:tc>
          <w:tcPr>
            <w:tcW w:type="dxa" w:w="1872"/>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مدقق داخلي - اطلاع فقط</w:t>
            </w:r>
          </w:p>
        </w:tc>
        <w:tc>
          <w:tcPr>
            <w:tcW w:type="dxa" w:w="205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Internal Auditor Read Only</w:t>
            </w:r>
          </w:p>
        </w:tc>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Complete read access including the audit trail, documents and exception history. May comment but not change.</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ROLE-08</w:t>
            </w:r>
          </w:p>
        </w:tc>
        <w:tc>
          <w:tcPr>
            <w:tcW w:type="dxa" w:w="1872"/>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مجلس الإدارة / رئيس المجلس</w:t>
            </w:r>
          </w:p>
        </w:tc>
        <w:tc>
          <w:tcPr>
            <w:tcW w:type="dxa" w:w="205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Board / Chairman View</w:t>
            </w:r>
          </w:p>
        </w:tc>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Records board approvals required by TT-20, TT-21, TT-23, TT-34, TT-36 and TT-37 and views the dashboard and statements.</w:t>
            </w:r>
          </w:p>
        </w:tc>
      </w:tr>
    </w:tbl>
    <w:p>
      <w:pPr>
        <w:spacing w:after="140"/>
      </w:pPr>
    </w:p>
    <w:tbl>
      <w:tblPr>
        <w:bidiVisual/>
        <w:tblW w:type="dxa" w:w="9360"/>
        <w:tblBorders>
          <w:top w:val="single" w:color="D6B656" w:sz="4"/>
          <w:left w:val="single" w:color="D6B656" w:sz="18"/>
          <w:bottom w:val="single" w:color="D6B656" w:sz="4"/>
          <w:right w:val="single" w:color="D6B656" w:sz="4"/>
          <w:insideH w:val="none"/>
          <w:insideV w:val="none"/>
        </w:tblBorders>
      </w:tblPr>
      <w:tblGrid>
        <w:gridCol w:w="9360"/>
      </w:tblGrid>
      <w:tr>
        <w:tc>
          <w:tcPr>
            <w:tcW w:type="dxa" w:w="9360"/>
            <w:shd w:fill="FFF2CC" w:val="clear"/>
            <w:tcMar>
              <w:top w:type="dxa" w:w="120"/>
              <w:left w:type="dxa" w:w="140"/>
              <w:bottom w:type="dxa" w:w="120"/>
              <w:right w:type="dxa" w:w="140"/>
            </w:tcMar>
          </w:tcPr>
          <w:p>
            <w:pPr>
              <w:bidi/>
              <w:spacing w:line="300"/>
              <w:jc w:val="both"/>
            </w:pPr>
            <w:r>
              <w:rPr>
                <w:rFonts w:ascii="Arial" w:cs="Arial" w:eastAsia="Arial" w:hAnsi="Arial"/>
                <w:b/>
                <w:bCs/>
                <w:color w:val="7F6000"/>
                <w:sz w:val="21"/>
                <w:szCs w:val="21"/>
                <w:rtl/>
              </w:rPr>
              <w:t xml:space="preserve">لا يجمع أي دور بين الإنشاء والاعتماد والترحيل وإدارة النظام. ومدير النظام لا يملك أي صلاحية محاسبية إطلاقاً، كي لا يجتمع لمستخدم واحد إدارة النظام والقدرة على الترحيل فيه.</w:t>
            </w:r>
          </w:p>
        </w:tc>
      </w:tr>
    </w:tbl>
    <w:p>
      <w:r>
        <w:br w:type="page"/>
      </w:r>
    </w:p>
    <w:p>
      <w:pPr>
        <w:pStyle w:val="Heading1"/>
        <w:bidi/>
        <w:spacing w:after="120" w:before="360"/>
        <w:jc w:val="right"/>
      </w:pPr>
      <w:r>
        <w:rPr>
          <w:rFonts w:ascii="Arial" w:cs="Arial" w:eastAsia="Arial" w:hAnsi="Arial"/>
          <w:b/>
          <w:bCs/>
          <w:color w:val="1F3864"/>
          <w:sz w:val="30"/>
          <w:szCs w:val="30"/>
          <w:rtl/>
        </w:rPr>
        <w:t xml:space="preserve">13 · عملية الإقفال الشهري</w:t>
      </w:r>
    </w:p>
    <w:p>
      <w:pPr>
        <w:spacing w:after="160"/>
        <w:jc w:val="right"/>
      </w:pPr>
      <w:r>
        <w:rPr>
          <w:rFonts w:ascii="Arial" w:cs="Arial" w:eastAsia="Arial" w:hAnsi="Arial"/>
          <w:i/>
          <w:iCs/>
          <w:color w:val="2E5C8A"/>
          <w:sz w:val="18"/>
          <w:szCs w:val="18"/>
        </w:rPr>
        <w:t xml:space="preserve">Monthly Closing Process</w:t>
      </w:r>
    </w:p>
    <w:p>
      <w:pPr>
        <w:bidi/>
        <w:spacing w:after="140" w:line="300"/>
        <w:jc w:val="both"/>
      </w:pPr>
      <w:r>
        <w:rPr>
          <w:rFonts w:ascii="Arial" w:cs="Arial" w:eastAsia="Arial" w:hAnsi="Arial"/>
          <w:sz w:val="21"/>
          <w:szCs w:val="21"/>
          <w:rtl/>
        </w:rPr>
        <w:t xml:space="preserve">يدعم النظام فترات محاسبية رسمية تنتقل بين الحالات الآتية: مفتوحة، ثم إقفال مبدئي يمنع الترحيل على المستخدمين الاعتياديين ويبقيه متاحاً للمدير المالي بسبب مكتوب، ثم إقفال نهائي يمنع الترحيل على الجميع، ثم قفل لا يُفَك إلا بإجراء إداري موثّق على مستوى قاعدة البيانات.</w:t>
      </w:r>
    </w:p>
    <w:p>
      <w:pPr>
        <w:spacing w:after="100"/>
      </w:pPr>
    </w:p>
    <w:p>
      <w:pPr>
        <w:bidi/>
        <w:spacing w:after="140" w:line="300"/>
        <w:jc w:val="both"/>
      </w:pPr>
      <w:r>
        <w:rPr>
          <w:rFonts w:ascii="Arial" w:cs="Arial" w:eastAsia="Arial" w:hAnsi="Arial"/>
          <w:b/>
          <w:bCs/>
          <w:sz w:val="21"/>
          <w:szCs w:val="21"/>
          <w:rtl/>
        </w:rPr>
        <w:t xml:space="preserve">يُمنع الإقفال النهائي ما دامت هناك مهمة غير مكتملة في قائمة الإقفال، أو قيد لم يُرحَّل، أو تأشير ازدواجية لم يُحسم في الفترة.</w:t>
      </w:r>
    </w:p>
    <w:p>
      <w:pPr>
        <w:spacing w:after="120"/>
      </w:pPr>
    </w:p>
    <w:p>
      <w:pPr>
        <w:bidi/>
        <w:spacing w:after="80" w:line="300"/>
        <w:jc w:val="both"/>
      </w:pPr>
      <w:r>
        <w:rPr>
          <w:rFonts w:ascii="Arial" w:cs="Arial" w:eastAsia="Arial" w:hAnsi="Arial"/>
          <w:b/>
          <w:bCs/>
          <w:sz w:val="21"/>
          <w:szCs w:val="21"/>
          <w:rtl/>
        </w:rPr>
        <w:t xml:space="preserve">قائمة الإقفال الشهري — 25 مهمة:</w:t>
      </w: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655"/>
        <w:gridCol w:w="4025"/>
        <w:gridCol w:w="655"/>
        <w:gridCol w:w="4025"/>
      </w:tblGrid>
      <w:tr>
        <w:trPr>
          <w:tblHeader/>
        </w:trPr>
        <w:tc>
          <w:tcPr>
            <w:tcW w:type="dxa" w:w="655"/>
            <w:shd w:fill="2E5C8A" w:val="clear"/>
            <w:tcMar>
              <w:top w:type="dxa" w:w="60"/>
              <w:left w:type="dxa" w:w="80"/>
              <w:bottom w:type="dxa" w:w="60"/>
              <w:right w:type="dxa" w:w="80"/>
            </w:tcMar>
          </w:tcPr>
          <w:p>
            <w:pPr>
              <w:bidi w:val="false"/>
              <w:spacing w:after="40" w:before="40" w:line="250"/>
              <w:jc w:val="center"/>
            </w:pPr>
            <w:r>
              <w:rPr>
                <w:rFonts w:ascii="Arial" w:cs="Arial" w:eastAsia="Arial" w:hAnsi="Arial"/>
                <w:b/>
                <w:bCs/>
                <w:color w:val="FFFFFF"/>
                <w:sz w:val="17"/>
                <w:szCs w:val="17"/>
                <w:rtl w:val="false"/>
              </w:rPr>
              <w:t xml:space="preserve">#</w:t>
            </w:r>
          </w:p>
        </w:tc>
        <w:tc>
          <w:tcPr>
            <w:tcW w:type="dxa" w:w="4025"/>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المهمة</w:t>
            </w:r>
          </w:p>
        </w:tc>
        <w:tc>
          <w:tcPr>
            <w:tcW w:type="dxa" w:w="655"/>
            <w:shd w:fill="2E5C8A" w:val="clear"/>
            <w:tcMar>
              <w:top w:type="dxa" w:w="60"/>
              <w:left w:type="dxa" w:w="80"/>
              <w:bottom w:type="dxa" w:w="60"/>
              <w:right w:type="dxa" w:w="80"/>
            </w:tcMar>
          </w:tcPr>
          <w:p>
            <w:pPr>
              <w:bidi w:val="false"/>
              <w:spacing w:after="40" w:before="40" w:line="250"/>
              <w:jc w:val="center"/>
            </w:pPr>
            <w:r>
              <w:rPr>
                <w:rFonts w:ascii="Arial" w:cs="Arial" w:eastAsia="Arial" w:hAnsi="Arial"/>
                <w:b/>
                <w:bCs/>
                <w:color w:val="FFFFFF"/>
                <w:sz w:val="17"/>
                <w:szCs w:val="17"/>
                <w:rtl w:val="false"/>
              </w:rPr>
              <w:t xml:space="preserve">#</w:t>
            </w:r>
          </w:p>
        </w:tc>
        <w:tc>
          <w:tcPr>
            <w:tcW w:type="dxa" w:w="4025"/>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المهمة</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w:t>
            </w:r>
          </w:p>
        </w:tc>
        <w:tc>
          <w:tcPr>
            <w:tcW w:type="dxa" w:w="4025"/>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مطابقة المصارف</w:t>
            </w:r>
          </w:p>
        </w:tc>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14</w:t>
            </w:r>
          </w:p>
        </w:tc>
        <w:tc>
          <w:tcPr>
            <w:tcW w:type="dxa" w:w="4025"/>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استحقاق المصروفات</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2</w:t>
            </w:r>
          </w:p>
        </w:tc>
        <w:tc>
          <w:tcPr>
            <w:tcW w:type="dxa" w:w="4025"/>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جرد الصناديق وخزائن المشاريع</w:t>
            </w:r>
          </w:p>
        </w:tc>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15</w:t>
            </w:r>
          </w:p>
        </w:tc>
        <w:tc>
          <w:tcPr>
            <w:tcW w:type="dxa" w:w="4025"/>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تسوية المدفوع مقدماً</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3</w:t>
            </w:r>
          </w:p>
        </w:tc>
        <w:tc>
          <w:tcPr>
            <w:tcW w:type="dxa" w:w="4025"/>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مراجعة القيود غير المرحّلة</w:t>
            </w:r>
          </w:p>
        </w:tc>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16</w:t>
            </w:r>
          </w:p>
        </w:tc>
        <w:tc>
          <w:tcPr>
            <w:tcW w:type="dxa" w:w="4025"/>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مراجعة التصنيف الرأسمالي والتشغيلي</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4</w:t>
            </w:r>
          </w:p>
        </w:tc>
        <w:tc>
          <w:tcPr>
            <w:tcW w:type="dxa" w:w="4025"/>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مطابقة المقاولين</w:t>
            </w:r>
          </w:p>
        </w:tc>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17</w:t>
            </w:r>
          </w:p>
        </w:tc>
        <w:tc>
          <w:tcPr>
            <w:tcW w:type="dxa" w:w="4025"/>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مراجعة الأصول قيد الإنشاء</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5</w:t>
            </w:r>
          </w:p>
        </w:tc>
        <w:tc>
          <w:tcPr>
            <w:tcW w:type="dxa" w:w="4025"/>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مطابقة الموردين</w:t>
            </w:r>
          </w:p>
        </w:tc>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18</w:t>
            </w:r>
          </w:p>
        </w:tc>
        <w:tc>
          <w:tcPr>
            <w:tcW w:type="dxa" w:w="4025"/>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مراجعة الأصول الثابتة</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6</w:t>
            </w:r>
          </w:p>
        </w:tc>
        <w:tc>
          <w:tcPr>
            <w:tcW w:type="dxa" w:w="4025"/>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مطابقة السلف</w:t>
            </w:r>
          </w:p>
        </w:tc>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19</w:t>
            </w:r>
          </w:p>
        </w:tc>
        <w:tc>
          <w:tcPr>
            <w:tcW w:type="dxa" w:w="4025"/>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مراجعة الإطفاء والإهلاك</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7</w:t>
            </w:r>
          </w:p>
        </w:tc>
        <w:tc>
          <w:tcPr>
            <w:tcW w:type="dxa" w:w="4025"/>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مطابقة حساب عبد الحميد هيلان</w:t>
            </w:r>
          </w:p>
        </w:tc>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20</w:t>
            </w:r>
          </w:p>
        </w:tc>
        <w:tc>
          <w:tcPr>
            <w:tcW w:type="dxa" w:w="4025"/>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مطابقة المحتجزات</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8</w:t>
            </w:r>
          </w:p>
        </w:tc>
        <w:tc>
          <w:tcPr>
            <w:tcW w:type="dxa" w:w="4025"/>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مطابقة حساب ياس جاسم</w:t>
            </w:r>
          </w:p>
        </w:tc>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21</w:t>
            </w:r>
          </w:p>
        </w:tc>
        <w:tc>
          <w:tcPr>
            <w:tcW w:type="dxa" w:w="4025"/>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تصفية الحساب الوسيط</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9</w:t>
            </w:r>
          </w:p>
        </w:tc>
        <w:tc>
          <w:tcPr>
            <w:tcW w:type="dxa" w:w="4025"/>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مطابقة قروض المساهمين</w:t>
            </w:r>
          </w:p>
        </w:tc>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22</w:t>
            </w:r>
          </w:p>
        </w:tc>
        <w:tc>
          <w:tcPr>
            <w:tcW w:type="dxa" w:w="4025"/>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مراجعة المستندات الناقصة</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10</w:t>
            </w:r>
          </w:p>
        </w:tc>
        <w:tc>
          <w:tcPr>
            <w:tcW w:type="dxa" w:w="4025"/>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مطابقة تمويل السيد محمد الشمري</w:t>
            </w:r>
          </w:p>
        </w:tc>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23</w:t>
            </w:r>
          </w:p>
        </w:tc>
        <w:tc>
          <w:tcPr>
            <w:tcW w:type="dxa" w:w="4025"/>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مراجعة ميزان المراجعة</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11</w:t>
            </w:r>
          </w:p>
        </w:tc>
        <w:tc>
          <w:tcPr>
            <w:tcW w:type="dxa" w:w="4025"/>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مطابقة الإيرادات</w:t>
            </w:r>
          </w:p>
        </w:tc>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24</w:t>
            </w:r>
          </w:p>
        </w:tc>
        <w:tc>
          <w:tcPr>
            <w:tcW w:type="dxa" w:w="4025"/>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إعداد القوائم المالية</w:t>
            </w:r>
          </w:p>
        </w:tc>
      </w:tr>
      <w:tr>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12</w:t>
            </w:r>
          </w:p>
        </w:tc>
        <w:tc>
          <w:tcPr>
            <w:tcW w:type="dxa" w:w="4025"/>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احتساب ومطابقة حصة الحكومة 20٪</w:t>
            </w:r>
          </w:p>
        </w:tc>
        <w:tc>
          <w:tcPr>
            <w:tcW w:type="dxa" w:w="655"/>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25</w:t>
            </w:r>
          </w:p>
        </w:tc>
        <w:tc>
          <w:tcPr>
            <w:tcW w:type="dxa" w:w="4025"/>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اعتماد الإدارة</w:t>
            </w:r>
          </w:p>
        </w:tc>
      </w:tr>
      <w:tr>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13</w:t>
            </w:r>
          </w:p>
        </w:tc>
        <w:tc>
          <w:tcPr>
            <w:tcW w:type="dxa" w:w="4025"/>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استحقاق الرواتب</w:t>
            </w:r>
          </w:p>
        </w:tc>
        <w:tc>
          <w:tcPr>
            <w:tcW w:type="dxa" w:w="65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c>
          <w:tcPr>
            <w:tcW w:type="dxa" w:w="4025"/>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r>
    </w:tbl>
    <w:p>
      <w:r>
        <w:br w:type="page"/>
      </w:r>
    </w:p>
    <w:p>
      <w:pPr>
        <w:pStyle w:val="Heading1"/>
        <w:bidi/>
        <w:spacing w:after="120" w:before="360"/>
        <w:jc w:val="right"/>
      </w:pPr>
      <w:r>
        <w:rPr>
          <w:rFonts w:ascii="Arial" w:cs="Arial" w:eastAsia="Arial" w:hAnsi="Arial"/>
          <w:b/>
          <w:bCs/>
          <w:color w:val="1F3864"/>
          <w:sz w:val="30"/>
          <w:szCs w:val="30"/>
          <w:rtl/>
        </w:rPr>
        <w:t xml:space="preserve">14 · ترحيل البيانات</w:t>
      </w:r>
    </w:p>
    <w:p>
      <w:pPr>
        <w:spacing w:after="160"/>
        <w:jc w:val="right"/>
      </w:pPr>
      <w:r>
        <w:rPr>
          <w:rFonts w:ascii="Arial" w:cs="Arial" w:eastAsia="Arial" w:hAnsi="Arial"/>
          <w:i/>
          <w:iCs/>
          <w:color w:val="2E5C8A"/>
          <w:sz w:val="18"/>
          <w:szCs w:val="18"/>
        </w:rPr>
        <w:t xml:space="preserve">Data Migration</w:t>
      </w:r>
    </w:p>
    <w:p>
      <w:pPr>
        <w:bidi/>
        <w:spacing w:after="140" w:line="300"/>
        <w:jc w:val="both"/>
      </w:pPr>
      <w:r>
        <w:rPr>
          <w:rFonts w:ascii="Arial" w:cs="Arial" w:eastAsia="Arial" w:hAnsi="Arial"/>
          <w:sz w:val="21"/>
          <w:szCs w:val="21"/>
          <w:rtl/>
        </w:rPr>
        <w:t xml:space="preserve">يُرحَّل السجل التاريخي من الملف المحاسبي المعتمد ابتداءً من التاريخ المحاسبي المعتمد. ولا يُسمح إلا بثلاث عمليات تحويل، وما عداها نسخ حرفي:</w:t>
      </w:r>
    </w:p>
    <w:p>
      <w:pPr>
        <w:pStyle w:val="ListParagraph"/>
        <w:numPr>
          <w:ilvl w:val="0"/>
          <w:numId w:val="2"/>
        </w:numPr>
        <w:bidi/>
        <w:spacing w:after="90" w:line="290"/>
        <w:jc w:val="both"/>
      </w:pPr>
      <w:r>
        <w:rPr>
          <w:rFonts w:ascii="Arial" w:cs="Arial" w:eastAsia="Arial" w:hAnsi="Arial"/>
          <w:sz w:val="21"/>
          <w:szCs w:val="21"/>
          <w:rtl/>
        </w:rPr>
        <w:t xml:space="preserve">تحويل بنية السطر الواحد إلى بنية معيارية: كل صف في السجل المعتمد يصبح رأس قيد واحداً وسطرين اثنين، بالمبالغ والحسابات والأبعاد نفسها.</w:t>
      </w:r>
    </w:p>
    <w:p>
      <w:pPr>
        <w:pStyle w:val="ListParagraph"/>
        <w:numPr>
          <w:ilvl w:val="0"/>
          <w:numId w:val="2"/>
        </w:numPr>
        <w:bidi/>
        <w:spacing w:after="90" w:line="290"/>
        <w:jc w:val="both"/>
      </w:pPr>
      <w:r>
        <w:rPr>
          <w:rFonts w:ascii="Arial" w:cs="Arial" w:eastAsia="Arial" w:hAnsi="Arial"/>
          <w:sz w:val="21"/>
          <w:szCs w:val="21"/>
          <w:rtl/>
        </w:rPr>
        <w:t xml:space="preserve">اشتقاق مركز المسؤولية من حساب السلفة المستخدم، ويُوسَم بوصفه حقلاً مشتقاً من النظام لا بياناً من المصدر.</w:t>
      </w:r>
    </w:p>
    <w:p>
      <w:pPr>
        <w:pStyle w:val="ListParagraph"/>
        <w:numPr>
          <w:ilvl w:val="0"/>
          <w:numId w:val="2"/>
        </w:numPr>
        <w:bidi/>
        <w:spacing w:after="90" w:line="290"/>
        <w:jc w:val="both"/>
      </w:pPr>
      <w:r>
        <w:rPr>
          <w:rFonts w:ascii="Arial" w:cs="Arial" w:eastAsia="Arial" w:hAnsi="Arial"/>
          <w:sz w:val="21"/>
          <w:szCs w:val="21"/>
          <w:rtl/>
        </w:rPr>
        <w:t xml:space="preserve">تحديد تاريخ الترحيل: يساوي تاريخ الحركة إن وُجد، وإلا يساوي تاريخ قطع الترحيل مع حفظ حالة التاريخ التي تثبت أن المصدر لا يحمل تاريخاً.</w:t>
      </w:r>
    </w:p>
    <w:p>
      <w:pPr>
        <w:spacing w:after="120"/>
      </w:pPr>
    </w:p>
    <w:tbl>
      <w:tblPr>
        <w:bidiVisual/>
        <w:tblW w:type="dxa" w:w="9360"/>
        <w:tblBorders>
          <w:top w:val="single" w:color="D6B656" w:sz="4"/>
          <w:left w:val="single" w:color="D6B656" w:sz="18"/>
          <w:bottom w:val="single" w:color="D6B656" w:sz="4"/>
          <w:right w:val="single" w:color="D6B656" w:sz="4"/>
          <w:insideH w:val="none"/>
          <w:insideV w:val="none"/>
        </w:tblBorders>
      </w:tblPr>
      <w:tblGrid>
        <w:gridCol w:w="9360"/>
      </w:tblGrid>
      <w:tr>
        <w:tc>
          <w:tcPr>
            <w:tcW w:type="dxa" w:w="9360"/>
            <w:shd w:fill="FFF2CC" w:val="clear"/>
            <w:tcMar>
              <w:top w:type="dxa" w:w="120"/>
              <w:left w:type="dxa" w:w="140"/>
              <w:bottom w:type="dxa" w:w="120"/>
              <w:right w:type="dxa" w:w="140"/>
            </w:tcMar>
          </w:tcPr>
          <w:p>
            <w:pPr>
              <w:bidi/>
              <w:spacing w:line="300"/>
              <w:jc w:val="both"/>
            </w:pPr>
            <w:r>
              <w:rPr>
                <w:rFonts w:ascii="Arial" w:cs="Arial" w:eastAsia="Arial" w:hAnsi="Arial"/>
                <w:b/>
                <w:bCs/>
                <w:color w:val="7F6000"/>
                <w:sz w:val="21"/>
                <w:szCs w:val="21"/>
                <w:rtl/>
              </w:rPr>
              <w:t xml:space="preserve">ممنوع منعاً باتاً عند الترحيل: تغيير تواريخ الحركات التاريخية، أو تعديل المبالغ، أو إنشاء أرصدة ناقصة، أو اختلاق مستندات مؤيدة، أو اختلاق تصنيفات محاسبية، أو إزالة الاستثناءات، أو إقحام البنود غير المحددة في حسابات بالقوة. وحيثما كان المصدر غير واضح يُرحَّل البند بوصفه «استثناء مصدر / يتطلب قراراً محاسبياً» بنصه الأصلي.</w:t>
            </w:r>
          </w:p>
        </w:tc>
      </w:tr>
    </w:tbl>
    <w:p>
      <w:pPr>
        <w:spacing w:after="140"/>
      </w:pPr>
    </w:p>
    <w:p>
      <w:pPr>
        <w:pStyle w:val="Heading2"/>
        <w:bidi/>
        <w:spacing w:after="120" w:before="260"/>
        <w:jc w:val="right"/>
      </w:pPr>
      <w:r>
        <w:rPr>
          <w:rFonts w:ascii="Arial" w:cs="Arial" w:eastAsia="Arial" w:hAnsi="Arial"/>
          <w:b/>
          <w:bCs/>
          <w:color w:val="1F3864"/>
          <w:sz w:val="25"/>
          <w:szCs w:val="25"/>
          <w:rtl/>
        </w:rPr>
        <w:t xml:space="preserve">14-1 · ضوابط مطابقة الترحيل</w:t>
      </w:r>
    </w:p>
    <w:p>
      <w:pPr>
        <w:spacing w:after="160"/>
        <w:jc w:val="right"/>
      </w:pPr>
      <w:r>
        <w:rPr>
          <w:rFonts w:ascii="Arial" w:cs="Arial" w:eastAsia="Arial" w:hAnsi="Arial"/>
          <w:i/>
          <w:iCs/>
          <w:color w:val="2E5C8A"/>
          <w:sz w:val="18"/>
          <w:szCs w:val="18"/>
        </w:rPr>
        <w:t xml:space="preserve">Migration Reconciliation Controls</w:t>
      </w:r>
    </w:p>
    <w:p>
      <w:pPr>
        <w:bidi/>
        <w:spacing w:after="140" w:line="300"/>
        <w:jc w:val="both"/>
      </w:pPr>
      <w:r>
        <w:rPr>
          <w:rFonts w:ascii="Arial" w:cs="Arial" w:eastAsia="Arial" w:hAnsi="Arial"/>
          <w:sz w:val="21"/>
          <w:szCs w:val="21"/>
          <w:rtl/>
        </w:rPr>
        <w:t xml:space="preserve">لا يُقبل النظام ما لم تُحقَّق ضوابط المطابقة الثلاثون جميعها. وفيما يلي أبرزها:</w:t>
      </w: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842"/>
        <w:gridCol w:w="2527"/>
        <w:gridCol w:w="3182"/>
        <w:gridCol w:w="2808"/>
      </w:tblGrid>
      <w:tr>
        <w:trPr>
          <w:tblHeader/>
        </w:trPr>
        <w:tc>
          <w:tcPr>
            <w:tcW w:type="dxa" w:w="842"/>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الضابط</w:t>
            </w:r>
          </w:p>
        </w:tc>
        <w:tc>
          <w:tcPr>
            <w:tcW w:type="dxa" w:w="2527"/>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المقياس</w:t>
            </w:r>
          </w:p>
        </w:tc>
        <w:tc>
          <w:tcPr>
            <w:tcW w:type="dxa" w:w="3182"/>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القيمة في المصدر المعتمد</w:t>
            </w:r>
          </w:p>
        </w:tc>
        <w:tc>
          <w:tcPr>
            <w:tcW w:type="dxa" w:w="2808"/>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شرط القبول</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MC-01</w:t>
            </w:r>
          </w:p>
        </w:tc>
        <w:tc>
          <w:tcPr>
            <w:tcW w:type="dxa" w:w="252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Record count — journal entries</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1,195</w:t>
            </w:r>
          </w:p>
        </w:tc>
        <w:tc>
          <w:tcPr>
            <w:tcW w:type="dxa" w:w="280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equal</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MC-02</w:t>
            </w:r>
          </w:p>
        </w:tc>
        <w:tc>
          <w:tcPr>
            <w:tcW w:type="dxa" w:w="252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Record count — journal lines</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2,390</w:t>
            </w:r>
          </w:p>
        </w:tc>
        <w:tc>
          <w:tcPr>
            <w:tcW w:type="dxa" w:w="280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equal 2 × 1,195</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MC-03</w:t>
            </w:r>
          </w:p>
        </w:tc>
        <w:tc>
          <w:tcPr>
            <w:tcW w:type="dxa" w:w="252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Total debit</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83,989,216,460</w:t>
            </w:r>
          </w:p>
        </w:tc>
        <w:tc>
          <w:tcPr>
            <w:tcW w:type="dxa" w:w="280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equal</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MC-04</w:t>
            </w:r>
          </w:p>
        </w:tc>
        <w:tc>
          <w:tcPr>
            <w:tcW w:type="dxa" w:w="252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Total credit</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83,989,216,460</w:t>
            </w:r>
          </w:p>
        </w:tc>
        <w:tc>
          <w:tcPr>
            <w:tcW w:type="dxa" w:w="280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equal</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MC-05</w:t>
            </w:r>
          </w:p>
        </w:tc>
        <w:tc>
          <w:tcPr>
            <w:tcW w:type="dxa" w:w="252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Debit − Credit</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0</w:t>
            </w:r>
          </w:p>
        </w:tc>
        <w:tc>
          <w:tcPr>
            <w:tcW w:type="dxa" w:w="280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be zero</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MC-06</w:t>
            </w:r>
          </w:p>
        </w:tc>
        <w:tc>
          <w:tcPr>
            <w:tcW w:type="dxa" w:w="252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Net debit balances</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38,150,397,980</w:t>
            </w:r>
          </w:p>
        </w:tc>
        <w:tc>
          <w:tcPr>
            <w:tcW w:type="dxa" w:w="280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equal</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MC-07</w:t>
            </w:r>
          </w:p>
        </w:tc>
        <w:tc>
          <w:tcPr>
            <w:tcW w:type="dxa" w:w="252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Net credit balances</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38,150,397,980</w:t>
            </w:r>
          </w:p>
        </w:tc>
        <w:tc>
          <w:tcPr>
            <w:tcW w:type="dxa" w:w="280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equal</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MC-08</w:t>
            </w:r>
          </w:p>
        </w:tc>
        <w:tc>
          <w:tcPr>
            <w:tcW w:type="dxa" w:w="252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Account balances — line by line</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Source trial balance, 145 accounts</w:t>
            </w:r>
          </w:p>
        </w:tc>
        <w:tc>
          <w:tcPr>
            <w:tcW w:type="dxa" w:w="280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Every account must agree to the dinar</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MC-10</w:t>
            </w:r>
          </w:p>
        </w:tc>
        <w:tc>
          <w:tcPr>
            <w:tcW w:type="dxa" w:w="252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Cash account 111002 movement</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36,391,971,980 / Cr 36,391,971,980</w:t>
            </w:r>
          </w:p>
        </w:tc>
        <w:tc>
          <w:tcPr>
            <w:tcW w:type="dxa" w:w="280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equal; closing nil</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MC-11</w:t>
            </w:r>
          </w:p>
        </w:tc>
        <w:tc>
          <w:tcPr>
            <w:tcW w:type="dxa" w:w="252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Shareholder loan 221001</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 38,043,476,980</w:t>
            </w:r>
          </w:p>
        </w:tc>
        <w:tc>
          <w:tcPr>
            <w:tcW w:type="dxa" w:w="280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equal</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MC-12</w:t>
            </w:r>
          </w:p>
        </w:tc>
        <w:tc>
          <w:tcPr>
            <w:tcW w:type="dxa" w:w="252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Contractor advances 112020</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21,515,766,000 / Cr 1,000,000,000 / net 20,515,766,000</w:t>
            </w:r>
          </w:p>
        </w:tc>
        <w:tc>
          <w:tcPr>
            <w:tcW w:type="dxa" w:w="280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equal</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MC-13</w:t>
            </w:r>
          </w:p>
        </w:tc>
        <w:tc>
          <w:tcPr>
            <w:tcW w:type="dxa" w:w="252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Advance 112030</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4,467,232,250 / Cr 4,467,232,250 / net 0</w:t>
            </w:r>
          </w:p>
        </w:tc>
        <w:tc>
          <w:tcPr>
            <w:tcW w:type="dxa" w:w="280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equal</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MC-14</w:t>
            </w:r>
          </w:p>
        </w:tc>
        <w:tc>
          <w:tcPr>
            <w:tcW w:type="dxa" w:w="252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Advance 112035</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 3,979,086,000 / Cr 4,078,882,000 / net credit 99,796,000</w:t>
            </w:r>
          </w:p>
        </w:tc>
        <w:tc>
          <w:tcPr>
            <w:tcW w:type="dxa" w:w="280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equal — the open difference must survive migration intact</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MC-16</w:t>
            </w:r>
          </w:p>
        </w:tc>
        <w:tc>
          <w:tcPr>
            <w:tcW w:type="dxa" w:w="252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Concession CIP total</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8,402,056,980</w:t>
            </w:r>
          </w:p>
        </w:tc>
        <w:tc>
          <w:tcPr>
            <w:tcW w:type="dxa" w:w="280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equal</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MC-17</w:t>
            </w:r>
          </w:p>
        </w:tc>
        <w:tc>
          <w:tcPr>
            <w:tcW w:type="dxa" w:w="252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Land account 115001</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3,050,000,000</w:t>
            </w:r>
          </w:p>
        </w:tc>
        <w:tc>
          <w:tcPr>
            <w:tcW w:type="dxa" w:w="280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equal — the File 2 figure of 6,800,000,000 must NOT appear</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MC-18</w:t>
            </w:r>
          </w:p>
        </w:tc>
        <w:tc>
          <w:tcPr>
            <w:tcW w:type="dxa" w:w="252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Concession right 117001</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3,200,000,000</w:t>
            </w:r>
          </w:p>
        </w:tc>
        <w:tc>
          <w:tcPr>
            <w:tcW w:type="dxa" w:w="280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equal</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MC-24</w:t>
            </w:r>
          </w:p>
        </w:tc>
        <w:tc>
          <w:tcPr>
            <w:tcW w:type="dxa" w:w="252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Project totals</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PRJ-01 1,159 entries · PRJ-02 20 · PRJ-03 16</w:t>
            </w:r>
          </w:p>
        </w:tc>
        <w:tc>
          <w:tcPr>
            <w:tcW w:type="dxa" w:w="280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equal</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MC-25</w:t>
            </w:r>
          </w:p>
        </w:tc>
        <w:tc>
          <w:tcPr>
            <w:tcW w:type="dxa" w:w="252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Dated vs undated entries</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884 dated · 311 undated</w:t>
            </w:r>
          </w:p>
        </w:tc>
        <w:tc>
          <w:tcPr>
            <w:tcW w:type="dxa" w:w="280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equal — no date invented</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MC-26</w:t>
            </w:r>
          </w:p>
        </w:tc>
        <w:tc>
          <w:tcPr>
            <w:tcW w:type="dxa" w:w="252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Duplicate flags</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70 possible + 6 manual review · value at risk 700,595,000</w:t>
            </w:r>
          </w:p>
        </w:tc>
        <w:tc>
          <w:tcPr>
            <w:tcW w:type="dxa" w:w="280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equal</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MC-28</w:t>
            </w:r>
          </w:p>
        </w:tc>
        <w:tc>
          <w:tcPr>
            <w:tcW w:type="dxa" w:w="252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Example rows from File 2</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0</w:t>
            </w:r>
          </w:p>
        </w:tc>
        <w:tc>
          <w:tcPr>
            <w:tcW w:type="dxa" w:w="280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be zero</w:t>
            </w:r>
          </w:p>
        </w:tc>
      </w:tr>
      <w:tr>
        <w:tc>
          <w:tcPr>
            <w:tcW w:type="dxa" w:w="8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MC-29</w:t>
            </w:r>
          </w:p>
        </w:tc>
        <w:tc>
          <w:tcPr>
            <w:tcW w:type="dxa" w:w="252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Funding control K1</w:t>
            </w:r>
          </w:p>
        </w:tc>
        <w:tc>
          <w:tcPr>
            <w:tcW w:type="dxa" w:w="318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38,043,476,980</w:t>
            </w:r>
          </w:p>
        </w:tc>
        <w:tc>
          <w:tcPr>
            <w:tcW w:type="dxa" w:w="280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equal</w:t>
            </w:r>
          </w:p>
        </w:tc>
      </w:tr>
      <w:tr>
        <w:tc>
          <w:tcPr>
            <w:tcW w:type="dxa" w:w="8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MC-30</w:t>
            </w:r>
          </w:p>
        </w:tc>
        <w:tc>
          <w:tcPr>
            <w:tcW w:type="dxa" w:w="252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Funding control K4 open difference</w:t>
            </w:r>
          </w:p>
        </w:tc>
        <w:tc>
          <w:tcPr>
            <w:tcW w:type="dxa" w:w="318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−99,796,000</w:t>
            </w:r>
          </w:p>
        </w:tc>
        <w:tc>
          <w:tcPr>
            <w:tcW w:type="dxa" w:w="280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Must equal — must not be forced to zero</w:t>
            </w:r>
          </w:p>
        </w:tc>
      </w:tr>
    </w:tbl>
    <w:p>
      <w:pPr>
        <w:spacing w:after="140"/>
      </w:pPr>
    </w:p>
    <w:p>
      <w:pPr>
        <w:bidi/>
        <w:spacing w:after="140" w:line="300"/>
        <w:jc w:val="both"/>
      </w:pPr>
      <w:r>
        <w:rPr>
          <w:rFonts w:ascii="Arial" w:cs="Arial" w:eastAsia="Arial" w:hAnsi="Arial"/>
          <w:b/>
          <w:bCs/>
          <w:sz w:val="21"/>
          <w:szCs w:val="21"/>
          <w:rtl/>
        </w:rPr>
        <w:t xml:space="preserve">يستحق الضابط MC-30 تأكيداً خاصاً: الفرق الرقابي المفتوح البالغ 99,796,000 دينار على الحساب 112035 يجب أن ينجو من الترحيل كما هو، وأن يظهر في سجل الفروقات المفتوحة بأسبابه المسماة. وأي ترحيل يُغلق هذا الفرق أو يقاصّه أو يسوّيه بقيد موازنة يُعدّ ترحيلاً مرفوضاً.</w:t>
      </w:r>
    </w:p>
    <w:p>
      <w:r>
        <w:br w:type="page"/>
      </w:r>
    </w:p>
    <w:p>
      <w:pPr>
        <w:pStyle w:val="Heading1"/>
        <w:bidi/>
        <w:spacing w:after="120" w:before="360"/>
        <w:jc w:val="right"/>
      </w:pPr>
      <w:r>
        <w:rPr>
          <w:rFonts w:ascii="Arial" w:cs="Arial" w:eastAsia="Arial" w:hAnsi="Arial"/>
          <w:b/>
          <w:bCs/>
          <w:color w:val="1F3864"/>
          <w:sz w:val="30"/>
          <w:szCs w:val="30"/>
          <w:rtl/>
        </w:rPr>
        <w:t xml:space="preserve">15 · معايير القبول</w:t>
      </w:r>
    </w:p>
    <w:p>
      <w:pPr>
        <w:spacing w:after="160"/>
        <w:jc w:val="right"/>
      </w:pPr>
      <w:r>
        <w:rPr>
          <w:rFonts w:ascii="Arial" w:cs="Arial" w:eastAsia="Arial" w:hAnsi="Arial"/>
          <w:i/>
          <w:iCs/>
          <w:color w:val="2E5C8A"/>
          <w:sz w:val="18"/>
          <w:szCs w:val="18"/>
        </w:rPr>
        <w:t xml:space="preserve">Acceptance Criteria</w:t>
      </w:r>
    </w:p>
    <w:p>
      <w:pPr>
        <w:bidi/>
        <w:spacing w:after="140" w:line="300"/>
        <w:jc w:val="both"/>
      </w:pPr>
      <w:r>
        <w:rPr>
          <w:rFonts w:ascii="Arial" w:cs="Arial" w:eastAsia="Arial" w:hAnsi="Arial"/>
          <w:sz w:val="21"/>
          <w:szCs w:val="21"/>
          <w:rtl/>
        </w:rPr>
        <w:t xml:space="preserve">يُعتبر النظام مقبولاً عند تحقق جميع المعايير الآتية مجتمعة:</w:t>
      </w:r>
    </w:p>
    <w:p>
      <w:pPr>
        <w:pStyle w:val="ListParagraph"/>
        <w:numPr>
          <w:ilvl w:val="0"/>
          <w:numId w:val="2"/>
        </w:numPr>
        <w:bidi/>
        <w:spacing w:after="90" w:line="290"/>
        <w:jc w:val="both"/>
      </w:pPr>
      <w:r>
        <w:rPr>
          <w:rFonts w:ascii="Arial" w:cs="Arial" w:eastAsia="Arial" w:hAnsi="Arial"/>
          <w:sz w:val="21"/>
          <w:szCs w:val="21"/>
          <w:rtl/>
        </w:rPr>
        <w:t xml:space="preserve">1. تساوي إجمالي المدين مع إجمالي الدائن في كل فترة وفي المجموع الكلي، ودون أي قيد موازنة في البيانات.</w:t>
      </w:r>
    </w:p>
    <w:p>
      <w:pPr>
        <w:pStyle w:val="ListParagraph"/>
        <w:numPr>
          <w:ilvl w:val="0"/>
          <w:numId w:val="2"/>
        </w:numPr>
        <w:bidi/>
        <w:spacing w:after="90" w:line="290"/>
        <w:jc w:val="both"/>
      </w:pPr>
      <w:r>
        <w:rPr>
          <w:rFonts w:ascii="Arial" w:cs="Arial" w:eastAsia="Arial" w:hAnsi="Arial"/>
          <w:sz w:val="21"/>
          <w:szCs w:val="21"/>
          <w:rtl/>
        </w:rPr>
        <w:t xml:space="preserve">2. طباعة ميزان المراجعة لإثباتات التوازن الثلاثة متوازنة في كل تشغيل.</w:t>
      </w:r>
    </w:p>
    <w:p>
      <w:pPr>
        <w:pStyle w:val="ListParagraph"/>
        <w:numPr>
          <w:ilvl w:val="0"/>
          <w:numId w:val="2"/>
        </w:numPr>
        <w:bidi/>
        <w:spacing w:after="90" w:line="290"/>
        <w:jc w:val="both"/>
      </w:pPr>
      <w:r>
        <w:rPr>
          <w:rFonts w:ascii="Arial" w:cs="Arial" w:eastAsia="Arial" w:hAnsi="Arial"/>
          <w:sz w:val="21"/>
          <w:szCs w:val="21"/>
          <w:rtl/>
        </w:rPr>
        <w:t xml:space="preserve">3. ربط كل حساب من حسابات التسجيل النشطة البالغة 141 حساباً ببند واحد في القائمة المالية عبر خريطة الربط، دون أي رقم مكتوب داخل الشيفرة.</w:t>
      </w:r>
    </w:p>
    <w:p>
      <w:pPr>
        <w:pStyle w:val="ListParagraph"/>
        <w:numPr>
          <w:ilvl w:val="0"/>
          <w:numId w:val="2"/>
        </w:numPr>
        <w:bidi/>
        <w:spacing w:after="90" w:line="290"/>
        <w:jc w:val="both"/>
      </w:pPr>
      <w:r>
        <w:rPr>
          <w:rFonts w:ascii="Arial" w:cs="Arial" w:eastAsia="Arial" w:hAnsi="Arial"/>
          <w:sz w:val="21"/>
          <w:szCs w:val="21"/>
          <w:rtl/>
        </w:rPr>
        <w:t xml:space="preserve">4. إعطاء قائمة المركز المالي نتيجة الموجودات ناقص المطلوبات وحقوق الملكية مساوية للصفر.</w:t>
      </w:r>
    </w:p>
    <w:p>
      <w:pPr>
        <w:pStyle w:val="ListParagraph"/>
        <w:numPr>
          <w:ilvl w:val="0"/>
          <w:numId w:val="2"/>
        </w:numPr>
        <w:bidi/>
        <w:spacing w:after="90" w:line="290"/>
        <w:jc w:val="both"/>
      </w:pPr>
      <w:r>
        <w:rPr>
          <w:rFonts w:ascii="Arial" w:cs="Arial" w:eastAsia="Arial" w:hAnsi="Arial"/>
          <w:sz w:val="21"/>
          <w:szCs w:val="21"/>
          <w:rtl/>
        </w:rPr>
        <w:t xml:space="preserve">5. تحقق النتيجة الموثّقة لكل قاعدة من قواعد التحقق الستين: المانعة تمنع، والتحذيرية تحذّر، والآلية تُنشئ سجلها.</w:t>
      </w:r>
    </w:p>
    <w:p>
      <w:pPr>
        <w:pStyle w:val="ListParagraph"/>
        <w:numPr>
          <w:ilvl w:val="0"/>
          <w:numId w:val="2"/>
        </w:numPr>
        <w:bidi/>
        <w:spacing w:after="90" w:line="290"/>
        <w:jc w:val="both"/>
      </w:pPr>
      <w:r>
        <w:rPr>
          <w:rFonts w:ascii="Arial" w:cs="Arial" w:eastAsia="Arial" w:hAnsi="Arial"/>
          <w:sz w:val="21"/>
          <w:szCs w:val="21"/>
          <w:rtl/>
        </w:rPr>
        <w:t xml:space="preserve">6. استحالة تعديل أو حذف قيد مرحَّل عبر أي مسار في النظام، بما في ذلك النداءات المباشرة التي تتجاوز الواجهة.</w:t>
      </w:r>
    </w:p>
    <w:p>
      <w:pPr>
        <w:pStyle w:val="ListParagraph"/>
        <w:numPr>
          <w:ilvl w:val="0"/>
          <w:numId w:val="2"/>
        </w:numPr>
        <w:bidi/>
        <w:spacing w:after="90" w:line="290"/>
        <w:jc w:val="both"/>
      </w:pPr>
      <w:r>
        <w:rPr>
          <w:rFonts w:ascii="Arial" w:cs="Arial" w:eastAsia="Arial" w:hAnsi="Arial"/>
          <w:sz w:val="21"/>
          <w:szCs w:val="21"/>
          <w:rtl/>
        </w:rPr>
        <w:t xml:space="preserve">7. عدم منح صلاحية التعديل أو الحذف على جدول أثر التدقيق لأي حساب تطبيقي.</w:t>
      </w:r>
    </w:p>
    <w:p>
      <w:pPr>
        <w:pStyle w:val="ListParagraph"/>
        <w:numPr>
          <w:ilvl w:val="0"/>
          <w:numId w:val="2"/>
        </w:numPr>
        <w:bidi/>
        <w:spacing w:after="90" w:line="290"/>
        <w:jc w:val="both"/>
      </w:pPr>
      <w:r>
        <w:rPr>
          <w:rFonts w:ascii="Arial" w:cs="Arial" w:eastAsia="Arial" w:hAnsi="Arial"/>
          <w:sz w:val="21"/>
          <w:szCs w:val="21"/>
          <w:rtl/>
        </w:rPr>
        <w:t xml:space="preserve">8. اجتياز ضوابط مطابقة الترحيل الثلاثين جميعها، مع بقاء الفرق البالغ 99,796,000 دينار ظاهراً بوصفه فرقاً مفتوحاً.</w:t>
      </w:r>
    </w:p>
    <w:p>
      <w:pPr>
        <w:pStyle w:val="ListParagraph"/>
        <w:numPr>
          <w:ilvl w:val="0"/>
          <w:numId w:val="2"/>
        </w:numPr>
        <w:bidi/>
        <w:spacing w:after="90" w:line="290"/>
        <w:jc w:val="both"/>
      </w:pPr>
      <w:r>
        <w:rPr>
          <w:rFonts w:ascii="Arial" w:cs="Arial" w:eastAsia="Arial" w:hAnsi="Arial"/>
          <w:sz w:val="21"/>
          <w:szCs w:val="21"/>
          <w:rtl/>
        </w:rPr>
        <w:t xml:space="preserve">9. اجتياز حالات اختبار القبول الاثنتين والخمسين جميعها، ومنها إيقاف تحويل الأصول قيد الإنشاء عند غياب تاريخ التشغيل التجاري، وعدم احتساب الحصة الحكومية على التمويل، وبقاء القيد غير المؤرخ على حاله.</w:t>
      </w:r>
    </w:p>
    <w:p>
      <w:pPr>
        <w:pStyle w:val="ListParagraph"/>
        <w:numPr>
          <w:ilvl w:val="0"/>
          <w:numId w:val="2"/>
        </w:numPr>
        <w:bidi/>
        <w:spacing w:after="90" w:line="290"/>
        <w:jc w:val="both"/>
      </w:pPr>
      <w:r>
        <w:rPr>
          <w:rFonts w:ascii="Arial" w:cs="Arial" w:eastAsia="Arial" w:hAnsi="Arial"/>
          <w:sz w:val="21"/>
          <w:szCs w:val="21"/>
          <w:rtl/>
        </w:rPr>
        <w:t xml:space="preserve">10. عمل التنقل التفصيلي من القائمة المالية إلى ميزان المراجعة إلى أستاذ الحساب إلى القيد إلى المستند.</w:t>
      </w:r>
    </w:p>
    <w:p>
      <w:pPr>
        <w:pStyle w:val="ListParagraph"/>
        <w:numPr>
          <w:ilvl w:val="0"/>
          <w:numId w:val="2"/>
        </w:numPr>
        <w:bidi/>
        <w:spacing w:after="90" w:line="290"/>
        <w:jc w:val="both"/>
      </w:pPr>
      <w:r>
        <w:rPr>
          <w:rFonts w:ascii="Arial" w:cs="Arial" w:eastAsia="Arial" w:hAnsi="Arial"/>
          <w:sz w:val="21"/>
          <w:szCs w:val="21"/>
          <w:rtl/>
        </w:rPr>
        <w:t xml:space="preserve">11. ورود نسبة الحصة الحكومية في موضع واحد فقط في النظام هو جدول المعاملات.</w:t>
      </w:r>
    </w:p>
    <w:p>
      <w:pPr>
        <w:pStyle w:val="ListParagraph"/>
        <w:numPr>
          <w:ilvl w:val="0"/>
          <w:numId w:val="2"/>
        </w:numPr>
        <w:bidi/>
        <w:spacing w:after="90" w:line="290"/>
        <w:jc w:val="both"/>
      </w:pPr>
      <w:r>
        <w:rPr>
          <w:rFonts w:ascii="Arial" w:cs="Arial" w:eastAsia="Arial" w:hAnsi="Arial"/>
          <w:sz w:val="21"/>
          <w:szCs w:val="21"/>
          <w:rtl/>
        </w:rPr>
        <w:t xml:space="preserve">12. عرض الواجهة العربية من اليمين إلى اليسار بمحاذاة صحيحة، ودون أي نص ظاهر للمستخدم مكتوب داخل الشيفرة.</w:t>
      </w:r>
    </w:p>
    <w:p>
      <w:pPr>
        <w:pStyle w:val="ListParagraph"/>
        <w:numPr>
          <w:ilvl w:val="0"/>
          <w:numId w:val="2"/>
        </w:numPr>
        <w:bidi/>
        <w:spacing w:after="90" w:line="290"/>
        <w:jc w:val="both"/>
      </w:pPr>
      <w:r>
        <w:rPr>
          <w:rFonts w:ascii="Arial" w:cs="Arial" w:eastAsia="Arial" w:hAnsi="Arial"/>
          <w:sz w:val="21"/>
          <w:szCs w:val="21"/>
          <w:rtl/>
        </w:rPr>
        <w:t xml:space="preserve">13. إثبات الاستعادة من النسخة الاحتياطية عملياً في بيئة نظيفة.</w:t>
      </w:r>
    </w:p>
    <w:p>
      <w:pPr>
        <w:spacing w:after="160"/>
      </w:pPr>
    </w:p>
    <w:p>
      <w:pPr>
        <w:pStyle w:val="Heading2"/>
        <w:bidi/>
        <w:spacing w:after="120" w:before="260"/>
        <w:jc w:val="right"/>
      </w:pPr>
      <w:r>
        <w:rPr>
          <w:rFonts w:ascii="Arial" w:cs="Arial" w:eastAsia="Arial" w:hAnsi="Arial"/>
          <w:b/>
          <w:bCs/>
          <w:color w:val="1F3864"/>
          <w:sz w:val="25"/>
          <w:szCs w:val="25"/>
          <w:rtl/>
        </w:rPr>
        <w:t xml:space="preserve">15-1 · المرحلة الأولى مقابل المرحلة الثانية</w:t>
      </w:r>
    </w:p>
    <w:p>
      <w:pPr>
        <w:spacing w:after="160"/>
        <w:jc w:val="right"/>
      </w:pPr>
      <w:r>
        <w:rPr>
          <w:rFonts w:ascii="Arial" w:cs="Arial" w:eastAsia="Arial" w:hAnsi="Arial"/>
          <w:i/>
          <w:iCs/>
          <w:color w:val="2E5C8A"/>
          <w:sz w:val="18"/>
          <w:szCs w:val="18"/>
        </w:rPr>
        <w:t xml:space="preserve">Phase 1 versus Phase 2</w:t>
      </w:r>
    </w:p>
    <w:p>
      <w:pPr>
        <w:bidi/>
        <w:spacing w:after="140" w:line="300"/>
        <w:jc w:val="both"/>
      </w:pPr>
      <w:r>
        <w:rPr>
          <w:rFonts w:ascii="Arial" w:cs="Arial" w:eastAsia="Arial" w:hAnsi="Arial"/>
          <w:b/>
          <w:bCs/>
          <w:sz w:val="21"/>
          <w:szCs w:val="21"/>
          <w:rtl/>
        </w:rPr>
        <w:t xml:space="preserve">تهدف المرحلة الأولى إلى منصة محاسبية متينة ومضبوطة، ولا يُسمح بإقحام وظائف اختيارية تضخّم البناء الأولي.</w:t>
      </w:r>
    </w:p>
    <w:p>
      <w:pPr>
        <w:spacing w:after="100"/>
      </w:pP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4680"/>
      </w:tblGrid>
      <w:tr>
        <w:trPr>
          <w:tblHeader/>
        </w:trPr>
        <w:tc>
          <w:tcPr>
            <w:tcW w:type="dxa" w:w="4680"/>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المرحلة الأولى — مطلوبة للتشغيل</w:t>
            </w:r>
          </w:p>
        </w:tc>
        <w:tc>
          <w:tcPr>
            <w:tcW w:type="dxa" w:w="4680"/>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المرحلة الثانية — تحسينات موصى بها</w:t>
            </w:r>
          </w:p>
        </w:tc>
      </w:tr>
      <w:tr>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M00 Policy &amp; Parameters — entity, currency, no-decimals policy, government share rate, contract term, commercial operation date held as NULL</w:t>
            </w:r>
          </w:p>
        </w:tc>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M08 Management Reporting extensions — comparative P&amp;L, prior-year comparatives, variance and percentage-change analysis</w:t>
            </w:r>
          </w:p>
        </w:tc>
      </w:tr>
      <w:tr>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M01 Master Data &amp; Chart of Accounts — the 145 approved accounts, counterparties, shareholders, advance holders, bank/cash/safe accounts</w:t>
            </w:r>
          </w:p>
        </w:tc>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M13 Contracts &amp; Work Packages — full contract master with amendments and change orders</w:t>
            </w:r>
          </w:p>
        </w:tc>
      </w:tr>
      <w:tr>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M02 Dimensions — projects, cost centres, responsibility centres, funding sources, funding categories, funding batches</w:t>
            </w:r>
          </w:p>
        </w:tc>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M14 Revenue &amp; Government Share — operating-phase revenue capture, eligibility management and the share reconciliation (built in Phase 1 but exercised in Phase 2)</w:t>
            </w:r>
          </w:p>
        </w:tc>
      </w:tr>
      <w:tr>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M03 Journal &amp; Posting Engine — headers and lines, the 39 transaction types, the 35 posting rules, the Draft→Posted workflow, reversal and reclassification</w:t>
            </w:r>
          </w:p>
        </w:tc>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Statutory cash flow statement (RPT-08a) and Statement of Changes in Equity (RPT-09)</w:t>
            </w:r>
          </w:p>
        </w:tc>
      </w:tr>
      <w:tr>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M04 Advances &amp; Custodians — issue, settle, refund, reclassify, aging, settlement audit</w:t>
            </w:r>
          </w:p>
        </w:tc>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Fixed-asset register with depreciation schedules per asset</w:t>
            </w:r>
          </w:p>
        </w:tc>
      </w:tr>
      <w:tr>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M05 Shareholder Funding — funding statement, utilisation analysis, funding chain control</w:t>
            </w:r>
          </w:p>
        </w:tc>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Budgeting and commitment control against contracts and work packages</w:t>
            </w:r>
          </w:p>
        </w:tc>
      </w:tr>
      <w:tr>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M06 Contractors &amp; Suppliers — subledger with advances, certification, retention, payments and the GL reconciliation</w:t>
            </w:r>
          </w:p>
        </w:tc>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Automated bank-statement import and matching</w:t>
            </w:r>
          </w:p>
        </w:tc>
      </w:tr>
      <w:tr>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M07 Reporting Engine — mapping-driven trial balance, SFP, P&amp;L and management funds-flow summary with full drill-down</w:t>
            </w:r>
          </w:p>
        </w:tc>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Mobile approval application</w:t>
            </w:r>
          </w:p>
        </w:tc>
      </w:tr>
      <w:tr>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M09 Controls &amp; Reconciliation — duplicate detection, exceptions register, open-differences register, chain control</w:t>
            </w:r>
          </w:p>
        </w:tc>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Integration with the yard operating system for automated revenue capture</w:t>
            </w:r>
          </w:p>
        </w:tc>
      </w:tr>
      <w:tr>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M10 Audit Trail — complete change log on journals, COA, master data, mappings, reconciliations, period locks and approvals</w:t>
            </w:r>
          </w:p>
        </w:tc>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Consolidation across entities should SHH acquire or create further companies</w:t>
            </w:r>
          </w:p>
        </w:tc>
      </w:tr>
      <w:tr>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M11 Cash &amp; Bank Management — derived book balances, reconciliation with variance and supporting document</w:t>
            </w:r>
          </w:p>
        </w:tc>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
            </w:r>
          </w:p>
        </w:tc>
      </w:tr>
      <w:tr>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M12 Concession &amp; CIP — CIP register with handover classification; transfer and amortization blocked until the operation date is set</w:t>
            </w:r>
          </w:p>
        </w:tc>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
            </w:r>
          </w:p>
        </w:tc>
      </w:tr>
      <w:tr>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M15 Period Management &amp; Closing — open, soft close, final close, reopen with authorisation, 25-task checklist</w:t>
            </w:r>
          </w:p>
        </w:tc>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
            </w:r>
          </w:p>
        </w:tc>
      </w:tr>
      <w:tr>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M16 Document Management — attachment with controlled status feeding the exceptions report</w:t>
            </w:r>
          </w:p>
        </w:tc>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
            </w:r>
          </w:p>
        </w:tc>
      </w:tr>
      <w:tr>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M17 Security &amp; Access — the eight roles, maker–checker, authentication and authorisation</w:t>
            </w:r>
          </w:p>
        </w:tc>
        <w:tc>
          <w:tcPr>
            <w:tcW w:type="dxa" w:w="468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
            </w:r>
          </w:p>
        </w:tc>
      </w:tr>
      <w:tr>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M18 Data Migration — the 22 migration steps and the 30 migration controls</w:t>
            </w:r>
          </w:p>
        </w:tc>
        <w:tc>
          <w:tcPr>
            <w:tcW w:type="dxa" w:w="468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
            </w:r>
          </w:p>
        </w:tc>
      </w:tr>
    </w:tbl>
    <w:p>
      <w:r>
        <w:br w:type="page"/>
      </w:r>
    </w:p>
    <w:p>
      <w:pPr>
        <w:pStyle w:val="Heading1"/>
        <w:bidi/>
        <w:spacing w:after="120" w:before="360"/>
        <w:jc w:val="right"/>
      </w:pPr>
      <w:r>
        <w:rPr>
          <w:rFonts w:ascii="Arial" w:cs="Arial" w:eastAsia="Arial" w:hAnsi="Arial"/>
          <w:b/>
          <w:bCs/>
          <w:color w:val="1F3864"/>
          <w:sz w:val="30"/>
          <w:szCs w:val="30"/>
          <w:rtl/>
        </w:rPr>
        <w:t xml:space="preserve">الملاحق</w:t>
      </w:r>
    </w:p>
    <w:p>
      <w:pPr>
        <w:spacing w:after="160"/>
        <w:jc w:val="right"/>
      </w:pPr>
      <w:r>
        <w:rPr>
          <w:rFonts w:ascii="Arial" w:cs="Arial" w:eastAsia="Arial" w:hAnsi="Arial"/>
          <w:i/>
          <w:iCs/>
          <w:color w:val="2E5C8A"/>
          <w:sz w:val="18"/>
          <w:szCs w:val="18"/>
        </w:rPr>
        <w:t xml:space="preserve">Appendices</w:t>
      </w:r>
    </w:p>
    <w:p>
      <w:pPr>
        <w:pStyle w:val="Heading2"/>
        <w:bidi/>
        <w:spacing w:after="120" w:before="260"/>
        <w:jc w:val="right"/>
      </w:pPr>
      <w:r>
        <w:rPr>
          <w:rFonts w:ascii="Arial" w:cs="Arial" w:eastAsia="Arial" w:hAnsi="Arial"/>
          <w:b/>
          <w:bCs/>
          <w:color w:val="1F3864"/>
          <w:sz w:val="25"/>
          <w:szCs w:val="25"/>
          <w:rtl/>
        </w:rPr>
        <w:t xml:space="preserve">ملحق (أ) · مجموعات شجرة الحسابات المعتمدة</w:t>
      </w:r>
    </w:p>
    <w:p>
      <w:pPr>
        <w:spacing w:after="160"/>
        <w:jc w:val="right"/>
      </w:pPr>
      <w:r>
        <w:rPr>
          <w:rFonts w:ascii="Arial" w:cs="Arial" w:eastAsia="Arial" w:hAnsi="Arial"/>
          <w:i/>
          <w:iCs/>
          <w:color w:val="2E5C8A"/>
          <w:sz w:val="18"/>
          <w:szCs w:val="18"/>
        </w:rPr>
        <w:t xml:space="preserve">Appendix A — Approved Chart of Accounts Groups</w:t>
      </w:r>
    </w:p>
    <w:p>
      <w:pPr>
        <w:bidi/>
        <w:spacing w:after="140" w:line="300"/>
        <w:jc w:val="both"/>
      </w:pPr>
      <w:r>
        <w:rPr>
          <w:rFonts w:ascii="Arial" w:cs="Arial" w:eastAsia="Arial" w:hAnsi="Arial"/>
          <w:sz w:val="21"/>
          <w:szCs w:val="21"/>
          <w:rtl/>
        </w:rPr>
        <w:t xml:space="preserve">تضم الشجرة المعتمدة 145 حساباً، منها 141 حساب تسجيل نشط، وحسابان غير مخصصين للتسجيل (112100 الذمم المدينة الشخصية على الأفراد، و115030 الأعمال المدنية)، وحسابان غير نشطين (112031 و112036). يرد الجدول التفصيلي الكامل في الورقة 04_COA من الوثيقة (ج).</w:t>
      </w: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98"/>
        <w:gridCol w:w="4118"/>
        <w:gridCol w:w="3744"/>
      </w:tblGrid>
      <w:tr>
        <w:trPr>
          <w:tblHeader/>
        </w:trPr>
        <w:tc>
          <w:tcPr>
            <w:tcW w:type="dxa" w:w="1498"/>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رمز المجموعة</w:t>
            </w:r>
          </w:p>
        </w:tc>
        <w:tc>
          <w:tcPr>
            <w:tcW w:type="dxa" w:w="4118"/>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المجموعة</w:t>
            </w:r>
          </w:p>
        </w:tc>
        <w:tc>
          <w:tcPr>
            <w:tcW w:type="dxa" w:w="3744"/>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الاسم الإنجليزي</w:t>
            </w:r>
          </w:p>
        </w:tc>
      </w:tr>
      <w:tr>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111000</w:t>
            </w:r>
          </w:p>
        </w:tc>
        <w:tc>
          <w:tcPr>
            <w:tcW w:type="dxa" w:w="4118"/>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النقد والمصارف</w:t>
            </w:r>
          </w:p>
        </w:tc>
        <w:tc>
          <w:tcPr>
            <w:tcW w:type="dxa" w:w="3744"/>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Cash &amp; Banks</w:t>
            </w:r>
          </w:p>
        </w:tc>
      </w:tr>
      <w:tr>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112000</w:t>
            </w:r>
          </w:p>
        </w:tc>
        <w:tc>
          <w:tcPr>
            <w:tcW w:type="dxa" w:w="4118"/>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الذمم المدينة والسلف</w:t>
            </w:r>
          </w:p>
        </w:tc>
        <w:tc>
          <w:tcPr>
            <w:tcW w:type="dxa" w:w="3744"/>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Receivables &amp; Advances</w:t>
            </w:r>
          </w:p>
        </w:tc>
      </w:tr>
      <w:tr>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112100</w:t>
            </w:r>
          </w:p>
        </w:tc>
        <w:tc>
          <w:tcPr>
            <w:tcW w:type="dxa" w:w="4118"/>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الذمم المدينة الشخصية على الأفراد</w:t>
            </w:r>
          </w:p>
        </w:tc>
        <w:tc>
          <w:tcPr>
            <w:tcW w:type="dxa" w:w="3744"/>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Personal Receivables from Individuals</w:t>
            </w:r>
          </w:p>
        </w:tc>
      </w:tr>
      <w:tr>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113000</w:t>
            </w:r>
          </w:p>
        </w:tc>
        <w:tc>
          <w:tcPr>
            <w:tcW w:type="dxa" w:w="4118"/>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المصروفات المدفوعة مقدماً</w:t>
            </w:r>
          </w:p>
        </w:tc>
        <w:tc>
          <w:tcPr>
            <w:tcW w:type="dxa" w:w="3744"/>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Prepayments</w:t>
            </w:r>
          </w:p>
        </w:tc>
      </w:tr>
      <w:tr>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115000</w:t>
            </w:r>
          </w:p>
        </w:tc>
        <w:tc>
          <w:tcPr>
            <w:tcW w:type="dxa" w:w="4118"/>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أصول الامتياز قيد الإنشاء</w:t>
            </w:r>
          </w:p>
        </w:tc>
        <w:tc>
          <w:tcPr>
            <w:tcW w:type="dxa" w:w="3744"/>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Concession Assets under Construction</w:t>
            </w:r>
          </w:p>
        </w:tc>
      </w:tr>
      <w:tr>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115030</w:t>
            </w:r>
          </w:p>
        </w:tc>
        <w:tc>
          <w:tcPr>
            <w:tcW w:type="dxa" w:w="4118"/>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الأعمال المدنية</w:t>
            </w:r>
          </w:p>
        </w:tc>
        <w:tc>
          <w:tcPr>
            <w:tcW w:type="dxa" w:w="3744"/>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Civil Works (Parent)</w:t>
            </w:r>
          </w:p>
        </w:tc>
      </w:tr>
      <w:tr>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116000</w:t>
            </w:r>
          </w:p>
        </w:tc>
        <w:tc>
          <w:tcPr>
            <w:tcW w:type="dxa" w:w="4118"/>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الاستثمارات والاستحواذ على حصص المشاريع</w:t>
            </w:r>
          </w:p>
        </w:tc>
        <w:tc>
          <w:tcPr>
            <w:tcW w:type="dxa" w:w="3744"/>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Investments &amp; Project Interest Acquisitions</w:t>
            </w:r>
          </w:p>
        </w:tc>
      </w:tr>
      <w:tr>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117000</w:t>
            </w:r>
          </w:p>
        </w:tc>
        <w:tc>
          <w:tcPr>
            <w:tcW w:type="dxa" w:w="4118"/>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حقوق الامتياز والإطفاء</w:t>
            </w:r>
          </w:p>
        </w:tc>
        <w:tc>
          <w:tcPr>
            <w:tcW w:type="dxa" w:w="3744"/>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Concession Rights &amp; Amortization</w:t>
            </w:r>
          </w:p>
        </w:tc>
      </w:tr>
      <w:tr>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118000</w:t>
            </w:r>
          </w:p>
        </w:tc>
        <w:tc>
          <w:tcPr>
            <w:tcW w:type="dxa" w:w="4118"/>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الأصول الثابتة المحتفظ بها</w:t>
            </w:r>
          </w:p>
        </w:tc>
        <w:tc>
          <w:tcPr>
            <w:tcW w:type="dxa" w:w="3744"/>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Retained Fixed Assets</w:t>
            </w:r>
          </w:p>
        </w:tc>
      </w:tr>
      <w:tr>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211000</w:t>
            </w:r>
          </w:p>
        </w:tc>
        <w:tc>
          <w:tcPr>
            <w:tcW w:type="dxa" w:w="4118"/>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الالتزامات المتداولة</w:t>
            </w:r>
          </w:p>
        </w:tc>
        <w:tc>
          <w:tcPr>
            <w:tcW w:type="dxa" w:w="3744"/>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Current Liabilities</w:t>
            </w:r>
          </w:p>
        </w:tc>
      </w:tr>
      <w:tr>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213000</w:t>
            </w:r>
          </w:p>
        </w:tc>
        <w:tc>
          <w:tcPr>
            <w:tcW w:type="dxa" w:w="4118"/>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الالتزامات الحكومية</w:t>
            </w:r>
          </w:p>
        </w:tc>
        <w:tc>
          <w:tcPr>
            <w:tcW w:type="dxa" w:w="3744"/>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Government Liabilities</w:t>
            </w:r>
          </w:p>
        </w:tc>
      </w:tr>
      <w:tr>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221000</w:t>
            </w:r>
          </w:p>
        </w:tc>
        <w:tc>
          <w:tcPr>
            <w:tcW w:type="dxa" w:w="4118"/>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قروض المساهمين</w:t>
            </w:r>
          </w:p>
        </w:tc>
        <w:tc>
          <w:tcPr>
            <w:tcW w:type="dxa" w:w="3744"/>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Shareholder Loans</w:t>
            </w:r>
          </w:p>
        </w:tc>
      </w:tr>
      <w:tr>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222000</w:t>
            </w:r>
          </w:p>
        </w:tc>
        <w:tc>
          <w:tcPr>
            <w:tcW w:type="dxa" w:w="4118"/>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الحسابات الجارية للمساهمين</w:t>
            </w:r>
          </w:p>
        </w:tc>
        <w:tc>
          <w:tcPr>
            <w:tcW w:type="dxa" w:w="3744"/>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Shareholder Current Accounts</w:t>
            </w:r>
          </w:p>
        </w:tc>
      </w:tr>
      <w:tr>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310000</w:t>
            </w:r>
          </w:p>
        </w:tc>
        <w:tc>
          <w:tcPr>
            <w:tcW w:type="dxa" w:w="4118"/>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حقوق الملكية</w:t>
            </w:r>
          </w:p>
        </w:tc>
        <w:tc>
          <w:tcPr>
            <w:tcW w:type="dxa" w:w="3744"/>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Equity</w:t>
            </w:r>
          </w:p>
        </w:tc>
      </w:tr>
      <w:tr>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410000</w:t>
            </w:r>
          </w:p>
        </w:tc>
        <w:tc>
          <w:tcPr>
            <w:tcW w:type="dxa" w:w="4118"/>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الإيرادات</w:t>
            </w:r>
          </w:p>
        </w:tc>
        <w:tc>
          <w:tcPr>
            <w:tcW w:type="dxa" w:w="3744"/>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Revenue</w:t>
            </w:r>
          </w:p>
        </w:tc>
      </w:tr>
      <w:tr>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510000</w:t>
            </w:r>
          </w:p>
        </w:tc>
        <w:tc>
          <w:tcPr>
            <w:tcW w:type="dxa" w:w="4118"/>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التكاليف التشغيلية المباشرة</w:t>
            </w:r>
          </w:p>
        </w:tc>
        <w:tc>
          <w:tcPr>
            <w:tcW w:type="dxa" w:w="3744"/>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Direct Operating Costs</w:t>
            </w:r>
          </w:p>
        </w:tc>
      </w:tr>
      <w:tr>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610000</w:t>
            </w:r>
          </w:p>
        </w:tc>
        <w:tc>
          <w:tcPr>
            <w:tcW w:type="dxa" w:w="4118"/>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المصروفات الإدارية</w:t>
            </w:r>
          </w:p>
        </w:tc>
        <w:tc>
          <w:tcPr>
            <w:tcW w:type="dxa" w:w="3744"/>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Administrative Expenses</w:t>
            </w:r>
          </w:p>
        </w:tc>
      </w:tr>
    </w:tbl>
    <w:p>
      <w:pPr>
        <w:spacing w:after="200"/>
      </w:pPr>
    </w:p>
    <w:p>
      <w:pPr>
        <w:pStyle w:val="Heading2"/>
        <w:bidi/>
        <w:spacing w:after="120" w:before="260"/>
        <w:jc w:val="right"/>
      </w:pPr>
      <w:r>
        <w:rPr>
          <w:rFonts w:ascii="Arial" w:cs="Arial" w:eastAsia="Arial" w:hAnsi="Arial"/>
          <w:b/>
          <w:bCs/>
          <w:color w:val="1F3864"/>
          <w:sz w:val="25"/>
          <w:szCs w:val="25"/>
          <w:rtl/>
        </w:rPr>
        <w:t xml:space="preserve">ملحق (ب) · معاملات النظام</w:t>
      </w:r>
    </w:p>
    <w:p>
      <w:pPr>
        <w:spacing w:after="160"/>
        <w:jc w:val="right"/>
      </w:pPr>
      <w:r>
        <w:rPr>
          <w:rFonts w:ascii="Arial" w:cs="Arial" w:eastAsia="Arial" w:hAnsi="Arial"/>
          <w:i/>
          <w:iCs/>
          <w:color w:val="2E5C8A"/>
          <w:sz w:val="18"/>
          <w:szCs w:val="18"/>
        </w:rPr>
        <w:t xml:space="preserve">Appendix B — System Parameters</w:t>
      </w: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310"/>
        <w:gridCol w:w="2808"/>
        <w:gridCol w:w="5242"/>
      </w:tblGrid>
      <w:tr>
        <w:trPr>
          <w:tblHeader/>
        </w:trPr>
        <w:tc>
          <w:tcPr>
            <w:tcW w:type="dxa" w:w="1310"/>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الرمز</w:t>
            </w:r>
          </w:p>
        </w:tc>
        <w:tc>
          <w:tcPr>
            <w:tcW w:type="dxa" w:w="2808"/>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المعامل</w:t>
            </w:r>
          </w:p>
        </w:tc>
        <w:tc>
          <w:tcPr>
            <w:tcW w:type="dxa" w:w="5242"/>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القيمة</w:t>
            </w:r>
          </w:p>
        </w:tc>
      </w:tr>
      <w:tr>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PARAM-001</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الكيان القانوني</w:t>
            </w:r>
          </w:p>
        </w:tc>
        <w:tc>
          <w:tcPr>
            <w:tcW w:type="dxa" w:w="5242"/>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Shams Al-Haylan Company / شركة شمس الهيلان</w:t>
            </w:r>
          </w:p>
        </w:tc>
      </w:tr>
      <w:tr>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PARAM-002</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رمز الكيان</w:t>
            </w:r>
          </w:p>
        </w:tc>
        <w:tc>
          <w:tcPr>
            <w:tcW w:type="dxa" w:w="52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SHH-01</w:t>
            </w:r>
          </w:p>
        </w:tc>
      </w:tr>
      <w:tr>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PARAM-003</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النموذج التشغيلي</w:t>
            </w:r>
          </w:p>
        </w:tc>
        <w:tc>
          <w:tcPr>
            <w:tcW w:type="dxa" w:w="52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Concession — joint operation with State Company for Land Transport</w:t>
            </w:r>
          </w:p>
        </w:tc>
      </w:tr>
      <w:tr>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PARAM-004</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عملة التقرير</w:t>
            </w:r>
          </w:p>
        </w:tc>
        <w:tc>
          <w:tcPr>
            <w:tcW w:type="dxa" w:w="52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IQD</w:t>
            </w:r>
          </w:p>
        </w:tc>
      </w:tr>
      <w:tr>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PARAM-005</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وحدة العرض</w:t>
            </w:r>
          </w:p>
        </w:tc>
        <w:tc>
          <w:tcPr>
            <w:tcW w:type="dxa" w:w="52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Absolute IQD, no decimals</w:t>
            </w:r>
          </w:p>
        </w:tc>
      </w:tr>
      <w:tr>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PARAM-006</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سعر الصرف</w:t>
            </w:r>
          </w:p>
        </w:tc>
        <w:tc>
          <w:tcPr>
            <w:tcW w:type="dxa" w:w="52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1460</w:t>
            </w:r>
          </w:p>
        </w:tc>
      </w:tr>
      <w:tr>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PARAM-007</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نسبة حصة الحكومة</w:t>
            </w:r>
          </w:p>
        </w:tc>
        <w:tc>
          <w:tcPr>
            <w:tcW w:type="dxa" w:w="52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0.20</w:t>
            </w:r>
          </w:p>
        </w:tc>
      </w:tr>
      <w:tr>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PARAM-008</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المدة الابتدائية للعقد</w:t>
            </w:r>
          </w:p>
        </w:tc>
        <w:tc>
          <w:tcPr>
            <w:tcW w:type="dxa" w:w="52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10</w:t>
            </w:r>
          </w:p>
        </w:tc>
      </w:tr>
      <w:tr>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PARAM-009</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تاريخ التشغيل التجاري</w:t>
            </w:r>
          </w:p>
        </w:tc>
        <w:tc>
          <w:tcPr>
            <w:tcW w:type="dxa" w:w="5242"/>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To be defined / يُحدد لاحقاً — MUST NOT be invented by the system</w:t>
            </w:r>
          </w:p>
        </w:tc>
      </w:tr>
      <w:tr>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PARAM-010</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بداية المحاسبة</w:t>
            </w:r>
          </w:p>
        </w:tc>
        <w:tc>
          <w:tcPr>
            <w:tcW w:type="dxa" w:w="5242"/>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May 2023 / أيار 2023</w:t>
            </w:r>
          </w:p>
        </w:tc>
      </w:tr>
      <w:tr>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PARAM-011</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الجهة الحكومية</w:t>
            </w:r>
          </w:p>
        </w:tc>
        <w:tc>
          <w:tcPr>
            <w:tcW w:type="dxa" w:w="5242"/>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State Company for Land Transport / الشركة العامة للنقل البري</w:t>
            </w:r>
          </w:p>
        </w:tc>
      </w:tr>
      <w:tr>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PARAM-012</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قاعدة بدء الإطفاء</w:t>
            </w:r>
          </w:p>
        </w:tc>
        <w:tc>
          <w:tcPr>
            <w:tcW w:type="dxa" w:w="524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Amortization starts ONLY at the commercial operation date, never during construction</w:t>
            </w:r>
          </w:p>
        </w:tc>
      </w:tr>
      <w:tr>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PARAM-013</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الحساب الوسيط</w:t>
            </w:r>
          </w:p>
        </w:tc>
        <w:tc>
          <w:tcPr>
            <w:tcW w:type="dxa" w:w="52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112090</w:t>
            </w:r>
          </w:p>
        </w:tc>
      </w:tr>
      <w:tr>
        <w:tc>
          <w:tcPr>
            <w:tcW w:type="dxa" w:w="131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PARAM-014</w:t>
            </w:r>
          </w:p>
        </w:tc>
        <w:tc>
          <w:tcPr>
            <w:tcW w:type="dxa" w:w="2808"/>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نسبة المحتجزات الافتراضية</w:t>
            </w:r>
          </w:p>
        </w:tc>
        <w:tc>
          <w:tcPr>
            <w:tcW w:type="dxa" w:w="5242"/>
            <w:shd w:fill="F2F2F2"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To be defined from signed contracts / يُحدد من العقود الموقعة</w:t>
            </w:r>
          </w:p>
        </w:tc>
      </w:tr>
      <w:tr>
        <w:tc>
          <w:tcPr>
            <w:tcW w:type="dxa" w:w="131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PARAM-015</w:t>
            </w:r>
          </w:p>
        </w:tc>
        <w:tc>
          <w:tcPr>
            <w:tcW w:type="dxa" w:w="2808"/>
            <w:shd w:fill="FFFFFF" w:val="clear"/>
            <w:tcMar>
              <w:top w:type="dxa" w:w="50"/>
              <w:left w:type="dxa" w:w="80"/>
              <w:bottom w:type="dxa" w:w="50"/>
              <w:right w:type="dxa" w:w="80"/>
            </w:tcMar>
          </w:tcPr>
          <w:p>
            <w:pPr>
              <w:bidi/>
              <w:spacing w:after="40" w:before="40" w:line="250"/>
              <w:jc w:val="right"/>
            </w:pPr>
            <w:r>
              <w:rPr>
                <w:rFonts w:ascii="Arial" w:cs="Arial" w:eastAsia="Arial" w:hAnsi="Arial"/>
                <w:sz w:val="15"/>
                <w:szCs w:val="15"/>
                <w:rtl/>
              </w:rPr>
              <w:t xml:space="preserve">الحساب النقدي الأساسي للمشروع الأول</w:t>
            </w:r>
          </w:p>
        </w:tc>
        <w:tc>
          <w:tcPr>
            <w:tcW w:type="dxa" w:w="524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111002</w:t>
            </w:r>
          </w:p>
        </w:tc>
      </w:tr>
    </w:tbl>
    <w:p>
      <w:r>
        <w:br w:type="page"/>
      </w:r>
    </w:p>
    <w:p>
      <w:pPr>
        <w:pStyle w:val="Heading2"/>
        <w:bidi/>
        <w:spacing w:after="120" w:before="260"/>
        <w:jc w:val="right"/>
      </w:pPr>
      <w:r>
        <w:rPr>
          <w:rFonts w:ascii="Arial" w:cs="Arial" w:eastAsia="Arial" w:hAnsi="Arial"/>
          <w:b/>
          <w:bCs/>
          <w:color w:val="1F3864"/>
          <w:sz w:val="25"/>
          <w:szCs w:val="25"/>
          <w:rtl/>
        </w:rPr>
        <w:t xml:space="preserve">ملحق (ج) · سجل التعارضات والقرارات</w:t>
      </w:r>
    </w:p>
    <w:p>
      <w:pPr>
        <w:spacing w:after="160"/>
        <w:jc w:val="right"/>
      </w:pPr>
      <w:r>
        <w:rPr>
          <w:rFonts w:ascii="Arial" w:cs="Arial" w:eastAsia="Arial" w:hAnsi="Arial"/>
          <w:i/>
          <w:iCs/>
          <w:color w:val="2E5C8A"/>
          <w:sz w:val="18"/>
          <w:szCs w:val="18"/>
        </w:rPr>
        <w:t xml:space="preserve">Appendix C — Conflict &amp; Decision Log</w:t>
      </w:r>
    </w:p>
    <w:p>
      <w:pPr>
        <w:bidi/>
        <w:spacing w:after="140" w:line="300"/>
        <w:jc w:val="both"/>
      </w:pPr>
      <w:r>
        <w:rPr>
          <w:rFonts w:ascii="Arial" w:cs="Arial" w:eastAsia="Arial" w:hAnsi="Arial"/>
          <w:sz w:val="21"/>
          <w:szCs w:val="21"/>
          <w:rtl/>
        </w:rPr>
        <w:t xml:space="preserve">حُسم كل تعارض بين الملفين وفق قاعدة أولوية المصدر، ودون أي تغيير صامت لبنية معتمدة.</w:t>
      </w: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749"/>
        <w:gridCol w:w="1498"/>
        <w:gridCol w:w="3650"/>
        <w:gridCol w:w="3463"/>
      </w:tblGrid>
      <w:tr>
        <w:trPr>
          <w:tblHeader/>
        </w:trPr>
        <w:tc>
          <w:tcPr>
            <w:tcW w:type="dxa" w:w="749"/>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الرمز</w:t>
            </w:r>
          </w:p>
        </w:tc>
        <w:tc>
          <w:tcPr>
            <w:tcW w:type="dxa" w:w="1498"/>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الموضوع</w:t>
            </w:r>
          </w:p>
        </w:tc>
        <w:tc>
          <w:tcPr>
            <w:tcW w:type="dxa" w:w="3650"/>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التعارض</w:t>
            </w:r>
          </w:p>
        </w:tc>
        <w:tc>
          <w:tcPr>
            <w:tcW w:type="dxa" w:w="3463"/>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القرار</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CONF-01</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Chart of Accounts</w:t>
            </w:r>
          </w:p>
        </w:tc>
        <w:tc>
          <w:tcPr>
            <w:tcW w:type="dxa" w:w="365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File 1 carries 145 accounts; File 2 carries 126 and omits the employee-custody series (112060–112069), the personal-receivable series (112100–112102), the civil-works children (115032–115037, 115039), the whole 116000 investment group and the 115030 non-posting parent.</w:t>
            </w:r>
          </w:p>
        </w:tc>
        <w:tc>
          <w:tcPr>
            <w:tcW w:type="dxa" w:w="346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File 1 prevails in full. The File 2 chart is superseded and must not be loaded.</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CONF-02</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Projects</w:t>
            </w:r>
          </w:p>
        </w:tc>
        <w:tc>
          <w:tcPr>
            <w:tcW w:type="dxa" w:w="365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File 2 Accounting Policy 2 states "two projects only: PRJ-01 and PRJ-02". File 1 carries PRJ-03 — BEXY 100-Dunum Development — with 16 posted entries and a dedicated cost centre CC-100D.</w:t>
            </w:r>
          </w:p>
        </w:tc>
        <w:tc>
          <w:tcPr>
            <w:tcW w:type="dxa" w:w="346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File 1 prevails: three projects (PRJ-01, PRJ-02, PRJ-03) plus CORP. Policy 2 is superseded and Document A restates it.</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CONF-03</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Cost centres</w:t>
            </w:r>
          </w:p>
        </w:tc>
        <w:tc>
          <w:tcPr>
            <w:tcW w:type="dxa" w:w="365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File 2 lists 18 cost centres; File 1 lists 19 (adds CC-100D).</w:t>
            </w:r>
          </w:p>
        </w:tc>
        <w:tc>
          <w:tcPr>
            <w:tcW w:type="dxa" w:w="346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File 1 prevails — 19 cost centres.</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CONF-04</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Land value</w:t>
            </w:r>
          </w:p>
        </w:tc>
        <w:tc>
          <w:tcPr>
            <w:tcW w:type="dxa" w:w="365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File 2 Policy 4 and the CIP register carry land at IQD 6,800,000,000. The authoritative trial balance carries 115001 at IQD 3,050,000,000.</w:t>
            </w:r>
          </w:p>
        </w:tc>
        <w:tc>
          <w:tcPr>
            <w:tcW w:type="dxa" w:w="346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File 1 prevails. The 6,800,000,000 is illustrative and must not appear anywhere in the system or its reports.</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CONF-05</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Journal structure</w:t>
            </w:r>
          </w:p>
        </w:tc>
        <w:tc>
          <w:tcPr>
            <w:tcW w:type="dxa" w:w="365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File 1 records one self-balancing entry per row (Dr account + Cr account + one amount). File 2 records one line per leg grouped by JV No.</w:t>
            </w:r>
          </w:p>
        </w:tc>
        <w:tc>
          <w:tcPr>
            <w:tcW w:type="dxa" w:w="346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DATA from File 1, STRUCTURE from File 2. Each File 1 row migrates to one journal header and exactly two journal lines. No amount, date, description or account changes.</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CONF-06</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Responsibility centres</w:t>
            </w:r>
          </w:p>
        </w:tc>
        <w:tc>
          <w:tcPr>
            <w:tcW w:type="dxa" w:w="365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File 1 has no responsibility-centre column. File 2 defines RC-01, RC-02 and RC-CORP.</w:t>
            </w:r>
          </w:p>
        </w:tc>
        <w:tc>
          <w:tcPr>
            <w:tcW w:type="dxa" w:w="346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File 2 structure adopted. At migration the responsibility centre is DERIVED from the funding recipient / advance account (112030/112031/112032 → RC-01; 112035/112036/112037 → RC-02; all else → RC-CORP) and recorded as system-derived, not as source data.</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CONF-07</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Advance account names</w:t>
            </w:r>
          </w:p>
        </w:tc>
        <w:tc>
          <w:tcPr>
            <w:tcW w:type="dxa" w:w="365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File 2 names 112030 "Advance – Abdul Hamid Haylan (Execution)" and 112035 "Advance – Yas Jassim (Execution)". File 1 names them after the persons (Abu Sajad / Abu Ahmed).</w:t>
            </w:r>
          </w:p>
        </w:tc>
        <w:tc>
          <w:tcPr>
            <w:tcW w:type="dxa" w:w="346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File 1 names prevail. The Execution/Operating/Administrative triplet structure from File 2 is retained as the account PURPOSE attribute.</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CONF-08</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Account 211090</w:t>
            </w:r>
          </w:p>
        </w:tc>
        <w:tc>
          <w:tcPr>
            <w:tcW w:type="dxa" w:w="365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File 1 COA names it "Other Payables – Hassan Yaqoub"; the File 1 trial balance and File 2 name it "Other Payables".</w:t>
            </w:r>
          </w:p>
        </w:tc>
        <w:tc>
          <w:tcPr>
            <w:tcW w:type="dxa" w:w="3463"/>
            <w:shd w:fill="F2F2F2" w:val="clear"/>
            <w:tcMar>
              <w:top w:type="dxa" w:w="50"/>
              <w:left w:type="dxa" w:w="80"/>
              <w:bottom w:type="dxa" w:w="50"/>
              <w:right w:type="dxa" w:w="80"/>
            </w:tcMar>
          </w:tcPr>
          <w:p>
            <w:pPr>
              <w:bidi/>
              <w:spacing w:after="40" w:before="40" w:line="250"/>
              <w:jc w:val="right"/>
            </w:pPr>
            <w:r>
              <w:rPr>
                <w:rFonts w:ascii="Arial" w:cs="Arial" w:eastAsia="Arial" w:hAnsi="Arial"/>
                <w:sz w:val="14"/>
                <w:szCs w:val="14"/>
                <w:rtl/>
              </w:rPr>
              <w:t xml:space="preserve">Generic name "Other Payables / ذمم دائنة أخرى" becomes the account name; "Hassan Yaqoub" becomes a counterparty on the journal line (JV-1028, IQD 7,125,000).</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CONF-09</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Account 610019 name</w:t>
            </w:r>
          </w:p>
        </w:tc>
        <w:tc>
          <w:tcPr>
            <w:tcW w:type="dxa" w:w="3650"/>
            <w:shd w:fill="FFFFFF" w:val="clear"/>
            <w:tcMar>
              <w:top w:type="dxa" w:w="50"/>
              <w:left w:type="dxa" w:w="80"/>
              <w:bottom w:type="dxa" w:w="50"/>
              <w:right w:type="dxa" w:w="80"/>
            </w:tcMar>
          </w:tcPr>
          <w:p>
            <w:pPr>
              <w:bidi/>
              <w:spacing w:after="40" w:before="40" w:line="250"/>
              <w:jc w:val="right"/>
            </w:pPr>
            <w:r>
              <w:rPr>
                <w:rFonts w:ascii="Arial" w:cs="Arial" w:eastAsia="Arial" w:hAnsi="Arial"/>
                <w:sz w:val="14"/>
                <w:szCs w:val="14"/>
                <w:rtl/>
              </w:rPr>
              <w:t xml:space="preserve">File 1 COA: "Approved Administrative &amp; Legle Expenses / مصروفات إدارية قانونية". File 2: "Other Approved Administrative Expenses".</w:t>
            </w:r>
          </w:p>
        </w:tc>
        <w:tc>
          <w:tcPr>
            <w:tcW w:type="dxa" w:w="346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File 1 prevails, with the spelling corrected to "Approved Administrative &amp; Legal Expenses" at migration. The correction is logged; the code, classification and balances are unchanged.</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CONF-10</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Funding category master list</w:t>
            </w:r>
          </w:p>
        </w:tc>
        <w:tc>
          <w:tcPr>
            <w:tcW w:type="dxa" w:w="365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The File 1 COA master list holds nine funding categories. The ledger uses eleven: two values ("Direct Funding – Mohammed Al-Shammari", "Recycled Contractor Recovery") are not in the master list, and one master value ("Corporate / Non-Project") is unused.</w:t>
            </w:r>
          </w:p>
        </w:tc>
        <w:tc>
          <w:tcPr>
            <w:tcW w:type="dxa" w:w="346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All eleven values are loaded as the approved reference set and the two ledger-only values are flagged as additions requiring formal approval. No ledger row is re-tagged.</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CONF-11</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Source presence master list</w:t>
            </w:r>
          </w:p>
        </w:tc>
        <w:tc>
          <w:tcPr>
            <w:tcW w:type="dxa" w:w="3650"/>
            <w:shd w:fill="FFFFFF" w:val="clear"/>
            <w:tcMar>
              <w:top w:type="dxa" w:w="50"/>
              <w:left w:type="dxa" w:w="80"/>
              <w:bottom w:type="dxa" w:w="50"/>
              <w:right w:type="dxa" w:w="80"/>
            </w:tcMar>
          </w:tcPr>
          <w:p>
            <w:pPr>
              <w:bidi/>
              <w:spacing w:after="40" w:before="40" w:line="250"/>
              <w:jc w:val="right"/>
            </w:pPr>
            <w:r>
              <w:rPr>
                <w:rFonts w:ascii="Arial" w:cs="Arial" w:eastAsia="Arial" w:hAnsi="Arial"/>
                <w:sz w:val="14"/>
                <w:szCs w:val="14"/>
                <w:rtl/>
              </w:rPr>
              <w:t xml:space="preserve">The COA master list holds eight values; the ledger uses nine, four of which are not in the list ("2026 قيود", the Dar Al-Ataa statement name, "MANAGEMENT DECISION", "DIRECT FUNDING LEDGER").</w:t>
            </w:r>
          </w:p>
        </w:tc>
        <w:tc>
          <w:tcPr>
            <w:tcW w:type="dxa" w:w="346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All values are loaded as the approved reference set; the four additions are flagged for formal approval. No ledger row is re-tagged.</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CONF-12</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Yas Jassim closing advance</w:t>
            </w:r>
          </w:p>
        </w:tc>
        <w:tc>
          <w:tcPr>
            <w:tcW w:type="dxa" w:w="365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The Yas Jassim Expense Audit working paper decomposes a closing project advance of IQD 1,116,357,250. The live ledger position of 112035 is a NET CREDIT of IQD 99,796,000.</w:t>
            </w:r>
          </w:p>
        </w:tc>
        <w:tc>
          <w:tcPr>
            <w:tcW w:type="dxa" w:w="346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The live ledger figure is the accounting position. The working paper is retained as an audit document with an explicit note that it reports an earlier stage of the same reconciliation.</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CONF-13</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Cash Position book balances</w:t>
            </w:r>
          </w:p>
        </w:tc>
        <w:tc>
          <w:tcPr>
            <w:tcW w:type="dxa" w:w="365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File 2 Cash Position shows sample balances (497,000,000). The authoritative ledger shows 111002 with equal debits and credits of 36,391,971,980 and a NIL closing balance; no other cash or bank account has movement.</w:t>
            </w:r>
          </w:p>
        </w:tc>
        <w:tc>
          <w:tcPr>
            <w:tcW w:type="dxa" w:w="346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File 1 prevails. The Cash Position module must derive every book balance from posted GL transactions — never from an input cell.</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CONF-14</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Revenue and government share</w:t>
            </w:r>
          </w:p>
        </w:tc>
        <w:tc>
          <w:tcPr>
            <w:tcW w:type="dxa" w:w="3650"/>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File 2 shows revenue of 100,000,000 and a 20% share of 20,000,000. The authoritative ledger carries NIL in every 410xxx account and in 213001 and 510001.</w:t>
            </w:r>
          </w:p>
        </w:tc>
        <w:tc>
          <w:tcPr>
            <w:tcW w:type="dxa" w:w="346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File 1 prevails: no revenue has been recognised. The revenue and government-share modules are built for the operating phase and delivered with zero balances.</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CONF-15</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Sample journal rows</w:t>
            </w:r>
          </w:p>
        </w:tc>
        <w:tc>
          <w:tcPr>
            <w:tcW w:type="dxa" w:w="3650"/>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The File 2 journal contains 34 example lines totalling 8,888,000,000 on each side, flagged EXAMPLE by the workbook itself.</w:t>
            </w:r>
          </w:p>
        </w:tc>
        <w:tc>
          <w:tcPr>
            <w:tcW w:type="dxa" w:w="346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Never migrated. The migration control requires an example-row count of zero.</w:t>
            </w:r>
          </w:p>
        </w:tc>
      </w:tr>
    </w:tbl>
    <w:p>
      <w:r>
        <w:br w:type="page"/>
      </w:r>
    </w:p>
    <w:p>
      <w:pPr>
        <w:pStyle w:val="Heading2"/>
        <w:bidi/>
        <w:spacing w:after="120" w:before="260"/>
        <w:jc w:val="right"/>
      </w:pPr>
      <w:r>
        <w:rPr>
          <w:rFonts w:ascii="Arial" w:cs="Arial" w:eastAsia="Arial" w:hAnsi="Arial"/>
          <w:b/>
          <w:bCs/>
          <w:color w:val="1F3864"/>
          <w:sz w:val="25"/>
          <w:szCs w:val="25"/>
          <w:rtl/>
        </w:rPr>
        <w:t xml:space="preserve">ملحق (د) · سجل الاستثناءات المرحّلة</w:t>
      </w:r>
    </w:p>
    <w:p>
      <w:pPr>
        <w:spacing w:after="160"/>
        <w:jc w:val="right"/>
      </w:pPr>
      <w:r>
        <w:rPr>
          <w:rFonts w:ascii="Arial" w:cs="Arial" w:eastAsia="Arial" w:hAnsi="Arial"/>
          <w:i/>
          <w:iCs/>
          <w:color w:val="2E5C8A"/>
          <w:sz w:val="18"/>
          <w:szCs w:val="18"/>
        </w:rPr>
        <w:t xml:space="preserve">Appendix D — Exceptions Register</w:t>
      </w:r>
    </w:p>
    <w:p>
      <w:pPr>
        <w:bidi/>
        <w:spacing w:after="140" w:line="300"/>
        <w:jc w:val="both"/>
      </w:pPr>
      <w:r>
        <w:rPr>
          <w:rFonts w:ascii="Arial" w:cs="Arial" w:eastAsia="Arial" w:hAnsi="Arial"/>
          <w:sz w:val="21"/>
          <w:szCs w:val="21"/>
          <w:rtl/>
        </w:rPr>
        <w:t xml:space="preserve">تُرحَّل هذه البنود مفتوحة بقيمتها الحقيقية، ولا يُغلق منها شيء ولا يُقاصّ ولا يُحذف.</w:t>
      </w: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936"/>
        <w:gridCol w:w="1498"/>
        <w:gridCol w:w="1872"/>
        <w:gridCol w:w="1498"/>
        <w:gridCol w:w="3557"/>
      </w:tblGrid>
      <w:tr>
        <w:trPr>
          <w:tblHeader/>
        </w:trPr>
        <w:tc>
          <w:tcPr>
            <w:tcW w:type="dxa" w:w="936"/>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الرمز</w:t>
            </w:r>
          </w:p>
        </w:tc>
        <w:tc>
          <w:tcPr>
            <w:tcW w:type="dxa" w:w="1498"/>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الفئة</w:t>
            </w:r>
          </w:p>
        </w:tc>
        <w:tc>
          <w:tcPr>
            <w:tcW w:type="dxa" w:w="1872"/>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الموضوع</w:t>
            </w:r>
          </w:p>
        </w:tc>
        <w:tc>
          <w:tcPr>
            <w:tcW w:type="dxa" w:w="1498"/>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القيمة</w:t>
            </w:r>
          </w:p>
        </w:tc>
        <w:tc>
          <w:tcPr>
            <w:tcW w:type="dxa" w:w="3557"/>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الإجراء المطلوب</w:t>
            </w:r>
          </w:p>
        </w:tc>
      </w:tr>
      <w:tr>
        <w:tc>
          <w:tcPr>
            <w:tcW w:type="dxa" w:w="93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EXC-OPEN-01</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Open control difference</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112035 Yas Jassim advance</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IQD 99,796,000</w:t>
            </w:r>
          </w:p>
        </w:tc>
        <w:tc>
          <w:tcPr>
            <w:tcW w:type="dxa" w:w="355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The advance account carries a net credit of 99,796,000. Every dinar is explained on the File 1 Difference Audit: AMER-799 posted as a settlement (208,268,750), the deleted JV-0488 (−109,000,000) and the Amer account closing overdraft (527,250). Three resolution options are documented; none has been applied.</w:t>
            </w:r>
          </w:p>
        </w:tc>
      </w:tr>
      <w:tr>
        <w:tc>
          <w:tcPr>
            <w:tcW w:type="dxa" w:w="93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EXC-OPEN-02</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Stage difference</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Yas Jassim closing advance</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IQD 1,116,357,250 vs 99,796,000</w:t>
            </w:r>
          </w:p>
        </w:tc>
        <w:tc>
          <w:tcPr>
            <w:tcW w:type="dxa" w:w="355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The expense-audit working paper decomposes a closing advance of 1,116,357,250 while the live ledger shows a net credit of 99,796,000. The two figures belong to different stages of the same reconciliation.</w:t>
            </w:r>
          </w:p>
        </w:tc>
      </w:tr>
      <w:tr>
        <w:tc>
          <w:tcPr>
            <w:tcW w:type="dxa" w:w="93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EXC-OPEN-03</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Unidentified source receipt</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AMER-799</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IQD 208,268,750</w:t>
            </w:r>
          </w:p>
        </w:tc>
        <w:tc>
          <w:tcPr>
            <w:tcW w:type="dxa" w:w="355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The Amer cash sheet records a receipt with no date, no description, no purpose and no counterparty. It was excluded from the funding population and is the single confirmed duplicate identified by the duplicate test.</w:t>
            </w:r>
          </w:p>
        </w:tc>
      </w:tr>
      <w:tr>
        <w:tc>
          <w:tcPr>
            <w:tcW w:type="dxa" w:w="93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EXC-OPEN-04</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Probable duplicate held unposted</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DF-56 / ABA-75</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IQD 17,000,000</w:t>
            </w:r>
          </w:p>
        </w:tc>
        <w:tc>
          <w:tcPr>
            <w:tcW w:type="dxa" w:w="355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The same amount, beneficiary and period appear in both the Direct Funding Ledger and the Yas Jassim chain. The Direct-Funding leg is held unposted pending management confirmation.</w:t>
            </w:r>
          </w:p>
        </w:tc>
      </w:tr>
      <w:tr>
        <w:tc>
          <w:tcPr>
            <w:tcW w:type="dxa" w:w="93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EXC-OPEN-05</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Potential duplicates carried in the ledger</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Direct Funding Ledger</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IQD 700,595,000</w:t>
            </w:r>
          </w:p>
        </w:tc>
        <w:tc>
          <w:tcPr>
            <w:tcW w:type="dxa" w:w="355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Rows with an exact-value counterpart elsewhere, flagged and filterable, none deleted. Each requires a manual decision.</w:t>
            </w:r>
          </w:p>
        </w:tc>
      </w:tr>
      <w:tr>
        <w:tc>
          <w:tcPr>
            <w:tcW w:type="dxa" w:w="93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EXC-OPEN-06</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Suspense item</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JV-0563 / AMER-508</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IQD 3,803,500</w:t>
            </w:r>
          </w:p>
        </w:tc>
        <w:tc>
          <w:tcPr>
            <w:tcW w:type="dxa" w:w="3557"/>
            <w:shd w:fill="F2F2F2" w:val="clear"/>
            <w:tcMar>
              <w:top w:type="dxa" w:w="50"/>
              <w:left w:type="dxa" w:w="80"/>
              <w:bottom w:type="dxa" w:w="50"/>
              <w:right w:type="dxa" w:w="80"/>
            </w:tcMar>
          </w:tcPr>
          <w:p>
            <w:pPr>
              <w:bidi/>
              <w:spacing w:after="40" w:before="40" w:line="250"/>
              <w:jc w:val="right"/>
            </w:pPr>
            <w:r>
              <w:rPr>
                <w:rFonts w:ascii="Arial" w:cs="Arial" w:eastAsia="Arial" w:hAnsi="Arial"/>
                <w:sz w:val="14"/>
                <w:szCs w:val="14"/>
                <w:rtl/>
              </w:rPr>
              <w:t xml:space="preserve">The custodian received less than was funded ("نقص بالمبلغ المستلم") and the source carries no date. Held in 112090 rather than netted.</w:t>
            </w:r>
          </w:p>
        </w:tc>
      </w:tr>
      <w:tr>
        <w:tc>
          <w:tcPr>
            <w:tcW w:type="dxa" w:w="93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EXC-OPEN-07</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Review required — possible duplicate</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2026 source row 16</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IQD 3,280,000</w:t>
            </w:r>
          </w:p>
        </w:tc>
        <w:tc>
          <w:tcPr>
            <w:tcW w:type="dxa" w:w="355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Generator maintenance possibly duplicating JV-1040/JV-1041 (DF-130). Not posted.</w:t>
            </w:r>
          </w:p>
        </w:tc>
      </w:tr>
      <w:tr>
        <w:tc>
          <w:tcPr>
            <w:tcW w:type="dxa" w:w="93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EXC-OPEN-08</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Classification review required</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2026 source row 17</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IQD 75,000,000</w:t>
            </w:r>
          </w:p>
        </w:tc>
        <w:tc>
          <w:tcPr>
            <w:tcW w:type="dxa" w:w="355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Purchase of the Yas Jassim interest in Shams Al-Haylan. No share-acquisition account exists for PRJ-01, so the entry was not posted.</w:t>
            </w:r>
          </w:p>
        </w:tc>
      </w:tr>
      <w:tr>
        <w:tc>
          <w:tcPr>
            <w:tcW w:type="dxa" w:w="93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EXC-OPEN-09</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Unpriced source line</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DF-161 Gulf Shield Security</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No amount at source</w:t>
            </w:r>
          </w:p>
        </w:tc>
        <w:tc>
          <w:tcPr>
            <w:tcW w:type="dxa" w:w="355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The Direct Funding Ledger line carries no amount, so nothing was posted. The 2026 Direct Funding Ledger is explicitly not complete.</w:t>
            </w:r>
          </w:p>
        </w:tc>
      </w:tr>
      <w:tr>
        <w:tc>
          <w:tcPr>
            <w:tcW w:type="dxa" w:w="93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EXC-OPEN-10</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Undetermined reclassifications</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Reclassification log</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IQD 830,700,000</w:t>
            </w:r>
          </w:p>
        </w:tc>
        <w:tc>
          <w:tcPr>
            <w:tcW w:type="dxa" w:w="355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Nine approved-register rows (four "requires review", five "requires an accounting decision") were deliberately not applied and remain in their current accounts.</w:t>
            </w:r>
          </w:p>
        </w:tc>
      </w:tr>
      <w:tr>
        <w:tc>
          <w:tcPr>
            <w:tcW w:type="dxa" w:w="93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EXC-OPEN-11</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Amount under review</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JV-0448 (ABS-12)</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IQD 500,000,000</w:t>
            </w:r>
          </w:p>
        </w:tc>
        <w:tc>
          <w:tcPr>
            <w:tcW w:type="dxa" w:w="355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Project and account are approved but the "amount requires review" tag was not removed by the reclassification pass.</w:t>
            </w:r>
          </w:p>
        </w:tc>
      </w:tr>
      <w:tr>
        <w:tc>
          <w:tcPr>
            <w:tcW w:type="dxa" w:w="93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EXC-OPEN-12</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Amount under review</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JV-0838 (ABA-50)</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IQD 500,000,000</w:t>
            </w:r>
          </w:p>
        </w:tc>
        <w:tc>
          <w:tcPr>
            <w:tcW w:type="dxa" w:w="355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A separate movement in the Yas Jassim chain, untouched and still under review within PRJ-01.</w:t>
            </w:r>
          </w:p>
        </w:tc>
      </w:tr>
      <w:tr>
        <w:tc>
          <w:tcPr>
            <w:tcW w:type="dxa" w:w="93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EXC-OPEN-13</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Contractor account not closed</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Dar Al-Ataa &amp; Taj Al-Marwa alliance</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IQD 20,500,000,000</w:t>
            </w:r>
          </w:p>
        </w:tc>
        <w:tc>
          <w:tcPr>
            <w:tcW w:type="dxa" w:w="355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The whole net position sits in 112020 Contractor Advances. No civil-works expense or CIP recognition has been made because no certified settlement or progress certificate has been received.</w:t>
            </w:r>
          </w:p>
        </w:tc>
      </w:tr>
      <w:tr>
        <w:tc>
          <w:tcPr>
            <w:tcW w:type="dxa" w:w="93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EXC-OPEN-14</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Undated historical entries</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Journal Ledger</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311 entries</w:t>
            </w:r>
          </w:p>
        </w:tc>
        <w:tc>
          <w:tcPr>
            <w:tcW w:type="dxa" w:w="355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The source documents carry no usable date. The entries were posted with the fact recorded rather than with an invented date.</w:t>
            </w:r>
          </w:p>
        </w:tc>
      </w:tr>
      <w:tr>
        <w:tc>
          <w:tcPr>
            <w:tcW w:type="dxa" w:w="93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EXC-OPEN-15</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Entries with inconsistent dates</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Journal Ledger</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27 entries</w:t>
            </w:r>
          </w:p>
        </w:tc>
        <w:tc>
          <w:tcPr>
            <w:tcW w:type="dxa" w:w="355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The source date is internally inconsistent (for example day and month transposed relative to the matching source).</w:t>
            </w:r>
          </w:p>
        </w:tc>
      </w:tr>
      <w:tr>
        <w:tc>
          <w:tcPr>
            <w:tcW w:type="dxa" w:w="93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EXC-OPEN-16</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Anonymised payees</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Eleven Yas Jassim rows</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IQD 56,873,750</w:t>
            </w:r>
          </w:p>
        </w:tc>
        <w:tc>
          <w:tcPr>
            <w:tcW w:type="dxa" w:w="3557"/>
            <w:shd w:fill="F2F2F2" w:val="clear"/>
            <w:tcMar>
              <w:top w:type="dxa" w:w="50"/>
              <w:left w:type="dxa" w:w="80"/>
              <w:bottom w:type="dxa" w:w="50"/>
              <w:right w:type="dxa" w:w="80"/>
            </w:tcMar>
          </w:tcPr>
          <w:p>
            <w:pPr>
              <w:bidi/>
              <w:spacing w:after="40" w:before="40" w:line="250"/>
              <w:jc w:val="right"/>
            </w:pPr>
            <w:r>
              <w:rPr>
                <w:rFonts w:ascii="Arial" w:cs="Arial" w:eastAsia="Arial" w:hAnsi="Arial"/>
                <w:sz w:val="14"/>
                <w:szCs w:val="14"/>
                <w:rtl/>
              </w:rPr>
              <w:t xml:space="preserve">Payments recorded in the Amer sheet with the payee anonymised to initials (م.م. / د.م.م.).</w:t>
            </w:r>
          </w:p>
        </w:tc>
      </w:tr>
      <w:tr>
        <w:tc>
          <w:tcPr>
            <w:tcW w:type="dxa" w:w="93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EXC-OPEN-17</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Pending-evidence settlements</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Yas Jassim expense audit</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12 rows</w:t>
            </w:r>
          </w:p>
        </w:tc>
        <w:tc>
          <w:tcPr>
            <w:tcW w:type="dxa" w:w="355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Settlements whose classification could not be finalised on the available evidence. Their amounts remain where they are.</w:t>
            </w:r>
          </w:p>
        </w:tc>
      </w:tr>
      <w:tr>
        <w:tc>
          <w:tcPr>
            <w:tcW w:type="dxa" w:w="93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EXC-SYS-01</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Reference-data gap</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Funding category master list</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2 values · 8 entries</w:t>
            </w:r>
          </w:p>
        </w:tc>
        <w:tc>
          <w:tcPr>
            <w:tcW w:type="dxa" w:w="355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"Direct Funding – Mohammed Al-Shammari" and "Recycled Contractor Recovery" are used in the ledger but are not in the COA master list. "Corporate / Non-Project" is in the master list but unused.</w:t>
            </w:r>
          </w:p>
        </w:tc>
      </w:tr>
      <w:tr>
        <w:tc>
          <w:tcPr>
            <w:tcW w:type="dxa" w:w="93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EXC-SYS-02</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Reference-data gap</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Source presence master list</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4 values · 113 entries</w:t>
            </w:r>
          </w:p>
        </w:tc>
        <w:tc>
          <w:tcPr>
            <w:tcW w:type="dxa" w:w="3557"/>
            <w:shd w:fill="FFFFFF" w:val="clear"/>
            <w:tcMar>
              <w:top w:type="dxa" w:w="50"/>
              <w:left w:type="dxa" w:w="80"/>
              <w:bottom w:type="dxa" w:w="50"/>
              <w:right w:type="dxa" w:w="80"/>
            </w:tcMar>
          </w:tcPr>
          <w:p>
            <w:pPr>
              <w:bidi/>
              <w:spacing w:after="40" w:before="40" w:line="250"/>
              <w:jc w:val="right"/>
            </w:pPr>
            <w:r>
              <w:rPr>
                <w:rFonts w:ascii="Arial" w:cs="Arial" w:eastAsia="Arial" w:hAnsi="Arial"/>
                <w:sz w:val="14"/>
                <w:szCs w:val="14"/>
                <w:rtl/>
              </w:rPr>
              <w:t xml:space="preserve">"2026 قيود", the Dar Al-Ataa statement name, "MANAGEMENT DECISION" and "DIRECT FUNDING LEDGER" are used in the ledger but are not in the COA master list.</w:t>
            </w:r>
          </w:p>
        </w:tc>
      </w:tr>
      <w:tr>
        <w:tc>
          <w:tcPr>
            <w:tcW w:type="dxa" w:w="93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EXC-SYS-03</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Missing dimension</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Journal Ledger cost centre</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2 entries</w:t>
            </w:r>
          </w:p>
        </w:tc>
        <w:tc>
          <w:tcPr>
            <w:tcW w:type="dxa" w:w="355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Two of the 1,195 entries carry no cost centre.</w:t>
            </w:r>
          </w:p>
        </w:tc>
      </w:tr>
      <w:tr>
        <w:tc>
          <w:tcPr>
            <w:tcW w:type="dxa" w:w="93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EXC-SYS-04</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Source document incomplete</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2026 Direct Funding Ledger</w:t>
            </w:r>
          </w:p>
        </w:tc>
        <w:tc>
          <w:tcPr>
            <w:tcW w:type="dxa" w:w="1498"/>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Population open</w:t>
            </w:r>
          </w:p>
        </w:tc>
        <w:tc>
          <w:tcPr>
            <w:tcW w:type="dxa" w:w="3557"/>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The 2026 population is explicitly incomplete; further entries may arrive.</w:t>
            </w:r>
          </w:p>
        </w:tc>
      </w:tr>
      <w:tr>
        <w:tc>
          <w:tcPr>
            <w:tcW w:type="dxa" w:w="93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EXC-SYS-05</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Contract data missing</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Government concession contract</w:t>
            </w:r>
          </w:p>
        </w:tc>
        <w:tc>
          <w:tcPr>
            <w:tcW w:type="dxa" w:w="1498"/>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Multiple fields</w:t>
            </w:r>
          </w:p>
        </w:tc>
        <w:tc>
          <w:tcPr>
            <w:tcW w:type="dxa" w:w="3557"/>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4"/>
                <w:szCs w:val="14"/>
                <w:rtl w:val="false"/>
              </w:rPr>
              <w:t xml:space="preserve">Contract number, start date, end date, termination provisions, renewal conditions, performance guarantees, government approvals and the commercial operation date are all "to be defined".</w:t>
            </w:r>
          </w:p>
        </w:tc>
      </w:tr>
    </w:tbl>
    <w:p>
      <w:r>
        <w:br w:type="page"/>
      </w:r>
    </w:p>
    <w:p>
      <w:pPr>
        <w:pStyle w:val="Heading2"/>
        <w:bidi/>
        <w:spacing w:after="120" w:before="260"/>
        <w:jc w:val="right"/>
      </w:pPr>
      <w:r>
        <w:rPr>
          <w:rFonts w:ascii="Arial" w:cs="Arial" w:eastAsia="Arial" w:hAnsi="Arial"/>
          <w:b/>
          <w:bCs/>
          <w:color w:val="1F3864"/>
          <w:sz w:val="25"/>
          <w:szCs w:val="25"/>
          <w:rtl/>
        </w:rPr>
        <w:t xml:space="preserve">ملحق (هـ) · التحسينات الموصى بها</w:t>
      </w:r>
    </w:p>
    <w:p>
      <w:pPr>
        <w:spacing w:after="160"/>
        <w:jc w:val="right"/>
      </w:pPr>
      <w:r>
        <w:rPr>
          <w:rFonts w:ascii="Arial" w:cs="Arial" w:eastAsia="Arial" w:hAnsi="Arial"/>
          <w:i/>
          <w:iCs/>
          <w:color w:val="2E5C8A"/>
          <w:sz w:val="18"/>
          <w:szCs w:val="18"/>
        </w:rPr>
        <w:t xml:space="preserve">Appendix E — Recommended Enhancements</w:t>
      </w:r>
    </w:p>
    <w:p>
      <w:pPr>
        <w:bidi/>
        <w:spacing w:after="140" w:line="300"/>
        <w:jc w:val="both"/>
      </w:pPr>
      <w:r>
        <w:rPr>
          <w:rFonts w:ascii="Arial" w:cs="Arial" w:eastAsia="Arial" w:hAnsi="Arial"/>
          <w:sz w:val="21"/>
          <w:szCs w:val="21"/>
          <w:rtl/>
        </w:rPr>
        <w:t xml:space="preserve">وُثِّقت هذه التحسينات بشكل منفصل ولم تُطبَّق على البنية المعتمدة، عملاً بقاعدة أولوية المصدر.</w:t>
      </w: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749"/>
        <w:gridCol w:w="1872"/>
        <w:gridCol w:w="5616"/>
        <w:gridCol w:w="1123"/>
      </w:tblGrid>
      <w:tr>
        <w:trPr>
          <w:tblHeader/>
        </w:trPr>
        <w:tc>
          <w:tcPr>
            <w:tcW w:type="dxa" w:w="749"/>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الرمز</w:t>
            </w:r>
          </w:p>
        </w:tc>
        <w:tc>
          <w:tcPr>
            <w:tcW w:type="dxa" w:w="1872"/>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التحسين</w:t>
            </w:r>
          </w:p>
        </w:tc>
        <w:tc>
          <w:tcPr>
            <w:tcW w:type="dxa" w:w="5616"/>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الوصف</w:t>
            </w:r>
          </w:p>
        </w:tc>
        <w:tc>
          <w:tcPr>
            <w:tcW w:type="dxa" w:w="1123"/>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المرحلة</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RE-01</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Journal normalisation</w:t>
            </w:r>
          </w:p>
        </w:tc>
        <w:tc>
          <w:tcPr>
            <w:tcW w:type="dxa" w:w="561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Replace the single-row Dr/Cr layout with journal_headers + journal_lines so that multi-line entries (1:N, N:1, N:N) become possible without changing any historical figure.</w:t>
            </w:r>
          </w:p>
        </w:tc>
        <w:tc>
          <w:tcPr>
            <w:tcW w:type="dxa" w:w="112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Phase 1</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RE-02</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Counterparty master separated from cost centres</w:t>
            </w:r>
          </w:p>
        </w:tc>
        <w:tc>
          <w:tcPr>
            <w:tcW w:type="dxa" w:w="561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Create a single counterparties table with sub-types (contractor, supplier, employee, advance holder, shareholder, government entity, other). The 53 distinct funding recipients in the ledger become counterparty records.</w:t>
            </w:r>
          </w:p>
        </w:tc>
        <w:tc>
          <w:tcPr>
            <w:tcW w:type="dxa" w:w="112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Phase 1</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RE-03</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Account 211090 genericised</w:t>
            </w:r>
          </w:p>
        </w:tc>
        <w:tc>
          <w:tcPr>
            <w:tcW w:type="dxa" w:w="561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Rename 211090 to "Other Payables" and carry Hassan Yaqoub as the counterparty on JV-1028.</w:t>
            </w:r>
          </w:p>
        </w:tc>
        <w:tc>
          <w:tcPr>
            <w:tcW w:type="dxa" w:w="112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Phase 1</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RE-04</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Funding batch as a first-class object</w:t>
            </w:r>
          </w:p>
        </w:tc>
        <w:tc>
          <w:tcPr>
            <w:tcW w:type="dxa" w:w="561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Introduce funding_batches keyed on the source reference series (AMER-nnn, ABS-nn, ABA-nn, DF-nnn, TAJ-DAR-nn, ACC-JV-…) so that every journal line inherits a traceable funding batch instead of a free-text source reference.</w:t>
            </w:r>
          </w:p>
        </w:tc>
        <w:tc>
          <w:tcPr>
            <w:tcW w:type="dxa" w:w="112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Phase 1</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RE-05</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Chain-step as an enumerated control field</w:t>
            </w:r>
          </w:p>
        </w:tc>
        <w:tc>
          <w:tcPr>
            <w:tcW w:type="dxa" w:w="561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Persist the 12 funding-chain steps as an enumeration on the journal line and validate the permitted account pairs per step.</w:t>
            </w:r>
          </w:p>
        </w:tc>
        <w:tc>
          <w:tcPr>
            <w:tcW w:type="dxa" w:w="112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Phase 1</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RE-06</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Date-status field retained</w:t>
            </w:r>
          </w:p>
        </w:tc>
        <w:tc>
          <w:tcPr>
            <w:tcW w:type="dxa" w:w="561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Keep an explicit date_status enumeration (OK / NO DATE IN SOURCE / MISSING / INCONSISTENT) so that the 311 undated historical entries remain visible rather than being given an invented date.</w:t>
            </w:r>
          </w:p>
        </w:tc>
        <w:tc>
          <w:tcPr>
            <w:tcW w:type="dxa" w:w="112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Phase 1</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RE-07</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Statutory cash flow statement</w:t>
            </w:r>
          </w:p>
        </w:tc>
        <w:tc>
          <w:tcPr>
            <w:tcW w:type="dxa" w:w="561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Build a proper indirect-method cash flow statement alongside the management funds-flow summary, and name them differently on screen.</w:t>
            </w:r>
          </w:p>
        </w:tc>
        <w:tc>
          <w:tcPr>
            <w:tcW w:type="dxa" w:w="112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Phase 2</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RE-08</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Statement of Changes in Equity</w:t>
            </w:r>
          </w:p>
        </w:tc>
        <w:tc>
          <w:tcPr>
            <w:tcW w:type="dxa" w:w="561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Add a Statement of Changes in Equity covering capital, contributions pending registration, reserves, retained earnings and the current result.</w:t>
            </w:r>
          </w:p>
        </w:tc>
        <w:tc>
          <w:tcPr>
            <w:tcW w:type="dxa" w:w="112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Phase 2</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RE-09</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Contract and work-package registers</w:t>
            </w:r>
          </w:p>
        </w:tc>
        <w:tc>
          <w:tcPr>
            <w:tcW w:type="dxa" w:w="561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Build contracts and work_packages as master tables with amendments and change orders, rather than as free-text journal columns.</w:t>
            </w:r>
          </w:p>
        </w:tc>
        <w:tc>
          <w:tcPr>
            <w:tcW w:type="dxa" w:w="112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Phase 2</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RE-10</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Document repository with status</w:t>
            </w:r>
          </w:p>
        </w:tc>
        <w:tc>
          <w:tcPr>
            <w:tcW w:type="dxa" w:w="561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Attach evidence to the journal header and line with a controlled status (Complete / Partial / Missing) that feeds the exceptions report and can never be silently cleared.</w:t>
            </w:r>
          </w:p>
        </w:tc>
        <w:tc>
          <w:tcPr>
            <w:tcW w:type="dxa" w:w="112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Phase 1</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RE-11</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Maker–checker on master data</w:t>
            </w:r>
          </w:p>
        </w:tc>
        <w:tc>
          <w:tcPr>
            <w:tcW w:type="dxa" w:w="561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Apply the same Draft → Submitted → Reviewed → Approved workflow to the Chart of Accounts and master data as to journals.</w:t>
            </w:r>
          </w:p>
        </w:tc>
        <w:tc>
          <w:tcPr>
            <w:tcW w:type="dxa" w:w="112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Phase 2</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RE-12</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Parameterised government share</w:t>
            </w:r>
          </w:p>
        </w:tc>
        <w:tc>
          <w:tcPr>
            <w:tcW w:type="dxa" w:w="561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Hold the share percentage, eligibility flags and effective dates in a parameter table with full history.</w:t>
            </w:r>
          </w:p>
        </w:tc>
        <w:tc>
          <w:tcPr>
            <w:tcW w:type="dxa" w:w="112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Phase 1</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RE-13</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Advance aging and settlement deadline</w:t>
            </w:r>
          </w:p>
        </w:tc>
        <w:tc>
          <w:tcPr>
            <w:tcW w:type="dxa" w:w="561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Add issue date, settlement deadline and aging buckets to the advance record and drive an exception when the deadline passes.</w:t>
            </w:r>
          </w:p>
        </w:tc>
        <w:tc>
          <w:tcPr>
            <w:tcW w:type="dxa" w:w="112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Phase 1</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RE-14</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Bilingual account and dimension names as separate fields</w:t>
            </w:r>
          </w:p>
        </w:tc>
        <w:tc>
          <w:tcPr>
            <w:tcW w:type="dxa" w:w="561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Store Arabic and English names in separate columns everywhere (already the case in the COA) and render by user language.</w:t>
            </w:r>
          </w:p>
        </w:tc>
        <w:tc>
          <w:tcPr>
            <w:tcW w:type="dxa" w:w="112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Phase 1</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RE-15</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Duplicate-detection service</w:t>
            </w:r>
          </w:p>
        </w:tc>
        <w:tc>
          <w:tcPr>
            <w:tcW w:type="dxa" w:w="561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Implement the File 1 duplicate tests as a service: exact amount + counterparty + period, exact source reference, and near-date matching, returning a score and a required disposition.</w:t>
            </w:r>
          </w:p>
        </w:tc>
        <w:tc>
          <w:tcPr>
            <w:tcW w:type="dxa" w:w="112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Phase 1</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RE-16</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Immutable posted entries with controlled reversal</w:t>
            </w:r>
          </w:p>
        </w:tc>
        <w:tc>
          <w:tcPr>
            <w:tcW w:type="dxa" w:w="561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Once posted, an entry can only be reversed or adjusted by a new entry carrying a reason and a link to the original.</w:t>
            </w:r>
          </w:p>
        </w:tc>
        <w:tc>
          <w:tcPr>
            <w:tcW w:type="dxa" w:w="112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Phase 1</w:t>
            </w:r>
          </w:p>
        </w:tc>
      </w:tr>
      <w:tr>
        <w:tc>
          <w:tcPr>
            <w:tcW w:type="dxa" w:w="74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RE-17</w:t>
            </w:r>
          </w:p>
        </w:tc>
        <w:tc>
          <w:tcPr>
            <w:tcW w:type="dxa" w:w="1872"/>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Reporting mapping table</w:t>
            </w:r>
          </w:p>
        </w:tc>
        <w:tc>
          <w:tcPr>
            <w:tcW w:type="dxa" w:w="5616"/>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Drive every financial statement line from a report_mappings table rather than from code.</w:t>
            </w:r>
          </w:p>
        </w:tc>
        <w:tc>
          <w:tcPr>
            <w:tcW w:type="dxa" w:w="1123"/>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Phase 1</w:t>
            </w:r>
          </w:p>
        </w:tc>
      </w:tr>
      <w:tr>
        <w:tc>
          <w:tcPr>
            <w:tcW w:type="dxa" w:w="74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RE-18</w:t>
            </w:r>
          </w:p>
        </w:tc>
        <w:tc>
          <w:tcPr>
            <w:tcW w:type="dxa" w:w="1872"/>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Project safe custodianship</w:t>
            </w:r>
          </w:p>
        </w:tc>
        <w:tc>
          <w:tcPr>
            <w:tcW w:type="dxa" w:w="5616"/>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Record the responsible accountant and last physical count date per cash account and require them at period close.</w:t>
            </w:r>
          </w:p>
        </w:tc>
        <w:tc>
          <w:tcPr>
            <w:tcW w:type="dxa" w:w="1123"/>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5"/>
                <w:szCs w:val="15"/>
                <w:rtl w:val="false"/>
              </w:rPr>
              <w:t xml:space="preserve">Phase 1</w:t>
            </w:r>
          </w:p>
        </w:tc>
      </w:tr>
    </w:tbl>
    <w:p>
      <w:r>
        <w:br w:type="page"/>
      </w:r>
    </w:p>
    <w:p>
      <w:pPr>
        <w:pStyle w:val="Heading2"/>
        <w:bidi/>
        <w:spacing w:after="120" w:before="260"/>
        <w:jc w:val="right"/>
      </w:pPr>
      <w:r>
        <w:rPr>
          <w:rFonts w:ascii="Arial" w:cs="Arial" w:eastAsia="Arial" w:hAnsi="Arial"/>
          <w:b/>
          <w:bCs/>
          <w:color w:val="1F3864"/>
          <w:sz w:val="25"/>
          <w:szCs w:val="25"/>
          <w:rtl/>
        </w:rPr>
        <w:t xml:space="preserve">ملحق (و) · التوقيعات</w:t>
      </w:r>
    </w:p>
    <w:p>
      <w:pPr>
        <w:spacing w:after="160"/>
        <w:jc w:val="right"/>
      </w:pPr>
      <w:r>
        <w:rPr>
          <w:rFonts w:ascii="Arial" w:cs="Arial" w:eastAsia="Arial" w:hAnsi="Arial"/>
          <w:i/>
          <w:iCs/>
          <w:color w:val="2E5C8A"/>
          <w:sz w:val="18"/>
          <w:szCs w:val="18"/>
        </w:rPr>
        <w:t xml:space="preserve">Appendix F — Sign-off</w:t>
      </w:r>
    </w:p>
    <w:p>
      <w:pPr>
        <w:bidi/>
        <w:spacing w:after="140" w:line="300"/>
        <w:jc w:val="both"/>
      </w:pPr>
      <w:r>
        <w:rPr>
          <w:rFonts w:ascii="Arial" w:cs="Arial" w:eastAsia="Arial" w:hAnsi="Arial"/>
          <w:sz w:val="21"/>
          <w:szCs w:val="21"/>
          <w:rtl/>
        </w:rPr>
        <w:t xml:space="preserve">باعتماد هذه الوثيقة تقرّ الأطراف الموقّعة بأن المنطق المحاسبي صحيح، وأن التقارير والضوابط مقبولة، وأن نطاق المرحلة الأولى محدد، وأن معايير القبول ملزمة لمزوّد البرمجيات.</w:t>
      </w:r>
    </w:p>
    <w:p>
      <w:pPr>
        <w:spacing w:after="200"/>
      </w:pPr>
    </w:p>
    <w:tbl>
      <w:tblPr>
        <w:bidiVisual/>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34"/>
        <w:gridCol w:w="2434"/>
        <w:gridCol w:w="2434"/>
        <w:gridCol w:w="2059"/>
      </w:tblGrid>
      <w:tr>
        <w:trPr>
          <w:tblHeader/>
        </w:trPr>
        <w:tc>
          <w:tcPr>
            <w:tcW w:type="dxa" w:w="2434"/>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الصفة</w:t>
            </w:r>
          </w:p>
        </w:tc>
        <w:tc>
          <w:tcPr>
            <w:tcW w:type="dxa" w:w="2434"/>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الاسم</w:t>
            </w:r>
          </w:p>
        </w:tc>
        <w:tc>
          <w:tcPr>
            <w:tcW w:type="dxa" w:w="2434"/>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التوقيع</w:t>
            </w:r>
          </w:p>
        </w:tc>
        <w:tc>
          <w:tcPr>
            <w:tcW w:type="dxa" w:w="2059"/>
            <w:shd w:fill="2E5C8A" w:val="clear"/>
            <w:tcMar>
              <w:top w:type="dxa" w:w="60"/>
              <w:left w:type="dxa" w:w="80"/>
              <w:bottom w:type="dxa" w:w="60"/>
              <w:right w:type="dxa" w:w="80"/>
            </w:tcMar>
          </w:tcPr>
          <w:p>
            <w:pPr>
              <w:bidi/>
              <w:spacing w:after="40" w:before="40" w:line="250"/>
              <w:jc w:val="center"/>
            </w:pPr>
            <w:r>
              <w:rPr>
                <w:rFonts w:ascii="Arial" w:cs="Arial" w:eastAsia="Arial" w:hAnsi="Arial"/>
                <w:b/>
                <w:bCs/>
                <w:color w:val="FFFFFF"/>
                <w:sz w:val="17"/>
                <w:szCs w:val="17"/>
                <w:rtl/>
              </w:rPr>
              <w:t xml:space="preserve">التاريخ</w:t>
            </w:r>
          </w:p>
        </w:tc>
      </w:tr>
      <w:tr>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المدير المالي</w:t>
            </w:r>
          </w:p>
        </w:tc>
        <w:tc>
          <w:tcPr>
            <w:tcW w:type="dxa" w:w="2434"/>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c>
          <w:tcPr>
            <w:tcW w:type="dxa" w:w="2434"/>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c>
          <w:tcPr>
            <w:tcW w:type="dxa" w:w="205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r>
      <w:tr>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المحاسب الأقدم / المراجع</w:t>
            </w:r>
          </w:p>
        </w:tc>
        <w:tc>
          <w:tcPr>
            <w:tcW w:type="dxa" w:w="2434"/>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c>
          <w:tcPr>
            <w:tcW w:type="dxa" w:w="2434"/>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c>
          <w:tcPr>
            <w:tcW w:type="dxa" w:w="205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r>
      <w:tr>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المدقق الداخلي</w:t>
            </w:r>
          </w:p>
        </w:tc>
        <w:tc>
          <w:tcPr>
            <w:tcW w:type="dxa" w:w="2434"/>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c>
          <w:tcPr>
            <w:tcW w:type="dxa" w:w="2434"/>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c>
          <w:tcPr>
            <w:tcW w:type="dxa" w:w="205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r>
      <w:tr>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ممثل الإدارة التنفيذية</w:t>
            </w:r>
          </w:p>
        </w:tc>
        <w:tc>
          <w:tcPr>
            <w:tcW w:type="dxa" w:w="2434"/>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c>
          <w:tcPr>
            <w:tcW w:type="dxa" w:w="2434"/>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c>
          <w:tcPr>
            <w:tcW w:type="dxa" w:w="205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r>
      <w:tr>
        <w:tc>
          <w:tcPr>
            <w:tcW w:type="dxa" w:w="2434"/>
            <w:shd w:fill="FFFFFF"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ممثل مجلس الإدارة</w:t>
            </w:r>
          </w:p>
        </w:tc>
        <w:tc>
          <w:tcPr>
            <w:tcW w:type="dxa" w:w="2434"/>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c>
          <w:tcPr>
            <w:tcW w:type="dxa" w:w="2434"/>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c>
          <w:tcPr>
            <w:tcW w:type="dxa" w:w="2059"/>
            <w:shd w:fill="FFFFFF"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r>
      <w:tr>
        <w:tc>
          <w:tcPr>
            <w:tcW w:type="dxa" w:w="2434"/>
            <w:shd w:fill="F2F2F2" w:val="clear"/>
            <w:tcMar>
              <w:top w:type="dxa" w:w="50"/>
              <w:left w:type="dxa" w:w="80"/>
              <w:bottom w:type="dxa" w:w="50"/>
              <w:right w:type="dxa" w:w="80"/>
            </w:tcMar>
          </w:tcPr>
          <w:p>
            <w:pPr>
              <w:bidi/>
              <w:spacing w:after="40" w:before="40" w:line="250"/>
              <w:jc w:val="right"/>
            </w:pPr>
            <w:r>
              <w:rPr>
                <w:rFonts w:ascii="Arial" w:cs="Arial" w:eastAsia="Arial" w:hAnsi="Arial"/>
                <w:sz w:val="16"/>
                <w:szCs w:val="16"/>
                <w:rtl/>
              </w:rPr>
              <w:t xml:space="preserve">ممثل شركة تطوير البرمجيات</w:t>
            </w:r>
          </w:p>
        </w:tc>
        <w:tc>
          <w:tcPr>
            <w:tcW w:type="dxa" w:w="2434"/>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c>
          <w:tcPr>
            <w:tcW w:type="dxa" w:w="2434"/>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c>
          <w:tcPr>
            <w:tcW w:type="dxa" w:w="2059"/>
            <w:shd w:fill="F2F2F2" w:val="clear"/>
            <w:tcMar>
              <w:top w:type="dxa" w:w="50"/>
              <w:left w:type="dxa" w:w="80"/>
              <w:bottom w:type="dxa" w:w="50"/>
              <w:right w:type="dxa" w:w="80"/>
            </w:tcMar>
          </w:tcPr>
          <w:p>
            <w:pPr>
              <w:bidi w:val="false"/>
              <w:spacing w:after="40" w:before="40" w:line="250"/>
              <w:jc w:val="left"/>
            </w:pPr>
            <w:r>
              <w:rPr>
                <w:rFonts w:ascii="Arial" w:cs="Arial" w:eastAsia="Arial" w:hAnsi="Arial"/>
                <w:sz w:val="16"/>
                <w:szCs w:val="16"/>
                <w:rtl w:val="false"/>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8A" w:sz="4" w:space="4"/>
      </w:pBdr>
      <w:bidi/>
      <w:jc w:val="right"/>
    </w:pPr>
    <w:r>
      <w:rPr>
        <w:rFonts w:ascii="Arial" w:cs="Arial" w:eastAsia="Arial" w:hAnsi="Arial"/>
        <w:color w:val="595959"/>
        <w:sz w:val="15"/>
        <w:szCs w:val="15"/>
        <w:rtl/>
      </w:rPr>
      <w:t xml:space="preserve">شركة شمس الهيلان (SHH-01) — وثيقة المتطلبات الأعمالية والمحاسبية والوظيفية · الإصدار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288"/>
      </w:pPr>
    </w:lvl>
    <w:lvl w:ilvl="1" w15:tentative="1">
      <w:start w:val="1"/>
      <w:numFmt w:val="bullet"/>
      <w:lvlText w:val="◦"/>
      <w:lvlJc w:val="right"/>
      <w:pPr>
        <w:ind w:righ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F3864"/>
      <w:sz w:val="30"/>
      <w:szCs w:val="30"/>
    </w:rPr>
  </w:style>
  <w:style w:type="paragraph" w:styleId="Heading2">
    <w:name w:val="Heading 2"/>
    <w:basedOn w:val="Normal"/>
    <w:next w:val="Normal"/>
    <w:qFormat/>
    <w:rPr>
      <w:rFonts w:ascii="Arial" w:cs="Arial" w:eastAsia="Arial" w:hAnsi="Arial"/>
      <w:b/>
      <w:bCs/>
      <w:color w:val="1F3864"/>
      <w:sz w:val="25"/>
      <w:szCs w:val="25"/>
    </w:rPr>
  </w:style>
  <w:style w:type="paragraph" w:styleId="Heading3">
    <w:name w:val="Heading 3"/>
    <w:basedOn w:val="Normal"/>
    <w:next w:val="Normal"/>
    <w:qFormat/>
    <w:rPr>
      <w:rFonts w:ascii="Arial" w:cs="Arial" w:eastAsia="Arial" w:hAnsi="Arial"/>
      <w:b/>
      <w:bCs/>
      <w:color w:val="2E5C8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SHH-01 — Business, Accounting &amp; Functional Requirements Specification</dc:title>
  <dc:creator>Shams Al-Haylan Company — SHH-01</dc:creator>
  <dc:description>Document A</dc:description>
  <cp:lastModifiedBy>Un-named</cp:lastModifiedBy>
  <cp:revision>1</cp:revision>
  <dcterms:created xsi:type="dcterms:W3CDTF">2026-09-19T09:53:44.412Z</dcterms:created>
  <dcterms:modified xsi:type="dcterms:W3CDTF">2026-09-19T09:53:44.412Z</dcterms:modified>
</cp:coreProperties>
</file>

<file path=docProps/custom.xml><?xml version="1.0" encoding="utf-8"?>
<Properties xmlns="http://schemas.openxmlformats.org/officeDocument/2006/custom-properties" xmlns:vt="http://schemas.openxmlformats.org/officeDocument/2006/docPropsVTypes"/>
</file>