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line="276" w:lineRule="auto"/>
      </w:pPr>
      <w:r>
        <w:rPr>
          <w:rFonts w:ascii="Noto Naskh Arabic" w:hAnsi="Noto Naskh Arabic" w:cs="Noto Naskh Arabic" w:eastAsia="Noto Naskh Arabic"/>
          <w:b w:val="0"/>
          <w:color w:val="666666"/>
          <w:sz w:val="22"/>
          <w:szCs w:val="22"/>
          <w:rtl/>
          <w:lang w:bidi="ar-EG"/>
        </w:rPr>
        <w:t>شركة النيل للصناعات الغذائية — القاهرة</w:t>
      </w:r>
    </w:p>
    <w:p>
      <w:pPr>
        <w:bidi/>
        <w:spacing w:after="40" w:line="276" w:lineRule="auto"/>
        <w:jc w:val="center"/>
      </w:pPr>
      <w:r>
        <w:rPr>
          <w:rFonts w:ascii="Noto Naskh Arabic" w:hAnsi="Noto Naskh Arabic" w:cs="Noto Naskh Arabic" w:eastAsia="Noto Naskh Arabic"/>
          <w:b/>
          <w:bCs/>
          <w:color w:val="1F3864"/>
          <w:sz w:val="44"/>
          <w:szCs w:val="44"/>
          <w:rtl/>
          <w:lang w:bidi="ar-EG"/>
        </w:rPr>
        <w:t>تقرير الموارد البشرية للربع الثالث 2026</w:t>
      </w:r>
    </w:p>
    <w:p>
      <w:pPr>
        <w:bidi/>
        <w:spacing w:after="280" w:line="276" w:lineRule="auto"/>
        <w:jc w:val="center"/>
      </w:pPr>
      <w:r>
        <w:rPr>
          <w:rFonts w:ascii="Noto Naskh Arabic" w:hAnsi="Noto Naskh Arabic" w:cs="Noto Naskh Arabic" w:eastAsia="Noto Naskh Arabic"/>
          <w:b w:val="0"/>
          <w:color w:val="666666"/>
          <w:sz w:val="22"/>
          <w:szCs w:val="22"/>
          <w:rtl/>
          <w:lang w:bidi="ar-EG"/>
        </w:rPr>
        <w:t>الفترة: يوليو – سبتمبر 2026</w:t>
      </w:r>
    </w:p>
    <w:p>
      <w:pPr>
        <w:bidi/>
        <w:spacing w:after="80" w:line="276" w:lineRule="auto"/>
      </w:pPr>
      <w:r>
        <w:rPr>
          <w:rFonts w:ascii="Noto Naskh Arabic" w:hAnsi="Noto Naskh Arabic" w:cs="Noto Naskh Arabic" w:eastAsia="Noto Naskh Arabic"/>
          <w:b/>
          <w:bCs/>
          <w:color w:val="1F3864"/>
          <w:sz w:val="30"/>
          <w:szCs w:val="30"/>
          <w:rtl/>
          <w:lang w:bidi="ar-EG"/>
        </w:rPr>
        <w:t>ملخص الأداء</w:t>
      </w:r>
    </w:p>
    <w:p>
      <w:pPr>
        <w:bidi/>
        <w:spacing w:after="120" w:line="276" w:lineRule="auto"/>
      </w:pPr>
      <w:r>
        <w:rPr>
          <w:rFonts w:ascii="Noto Naskh Arabic" w:hAnsi="Noto Naskh Arabic" w:cs="Noto Naskh Arabic" w:eastAsia="Noto Naskh Arabic"/>
          <w:b w:val="0"/>
          <w:sz w:val="24"/>
          <w:szCs w:val="24"/>
          <w:rtl/>
          <w:lang w:bidi="ar-EG"/>
        </w:rPr>
        <w:t>شهد الربع الثالث استقرارًا نسبيًا في القوى العاملة، إذ بلغ معدل دوران الموظفين 12% مقارنةً بـ 15% في الربع السابق، ويُعزى هذا التحسن إلى مراجعة هيكل الأجور وتوسيع برامج التدريب الداخلي، خاصةً في إدارتي المبيعات والإنتاج.</w:t>
      </w:r>
    </w:p>
    <w:p>
      <w:pPr>
        <w:bidi/>
        <w:spacing w:after="200" w:line="276" w:lineRule="auto"/>
      </w:pPr>
      <w:r>
        <w:rPr>
          <w:rFonts w:ascii="Noto Naskh Arabic" w:hAnsi="Noto Naskh Arabic" w:cs="Noto Naskh Arabic" w:eastAsia="Noto Naskh Arabic"/>
          <w:b w:val="0"/>
          <w:sz w:val="24"/>
          <w:szCs w:val="24"/>
          <w:rtl/>
          <w:lang w:bidi="ar-EG"/>
        </w:rPr>
        <w:t>وفي إطار خطة التوظيف لعام 2026، تستهدف الشركة تعيين 85 موظفًا جديدًا موزعين على الإدارات الأربع، مع التركيز على الكفاءات التقنية في مصنع العاشر من رمضان، وإطلاق برنامج للخريجين الجدد بالتعاون مع الجامعات المصرية.</w:t>
      </w:r>
    </w:p>
    <w:p>
      <w:pPr>
        <w:bidi/>
        <w:spacing w:after="80" w:line="276" w:lineRule="auto"/>
      </w:pPr>
      <w:r>
        <w:rPr>
          <w:rFonts w:ascii="Noto Naskh Arabic" w:hAnsi="Noto Naskh Arabic" w:cs="Noto Naskh Arabic" w:eastAsia="Noto Naskh Arabic"/>
          <w:b/>
          <w:bCs/>
          <w:color w:val="1F3864"/>
          <w:sz w:val="30"/>
          <w:szCs w:val="30"/>
          <w:rtl/>
          <w:lang w:bidi="ar-EG"/>
        </w:rPr>
        <w:t>أبرز الإنجازات</w:t>
      </w:r>
    </w:p>
    <w:p>
      <w:pPr>
        <w:numPr>
          <w:ilvl w:val="0"/>
          <w:numId w:val="90"/>
        </w:numPr>
        <w:bidi/>
        <w:spacing w:after="60" w:line="276" w:lineRule="auto"/>
        <w:ind w:right="567" w:hanging="284"/>
      </w:pPr>
      <w:r>
        <w:rPr>
          <w:rFonts w:ascii="Noto Naskh Arabic" w:hAnsi="Noto Naskh Arabic" w:cs="Noto Naskh Arabic" w:eastAsia="Noto Naskh Arabic"/>
          <w:b w:val="0"/>
          <w:sz w:val="24"/>
          <w:szCs w:val="24"/>
          <w:rtl/>
          <w:lang w:bidi="ar-EG"/>
        </w:rPr>
        <w:t>إطلاق منصة إلكترونية للتقييم السنوي للأداء شملت جميع الموظفين.</w:t>
      </w:r>
    </w:p>
    <w:p>
      <w:pPr>
        <w:numPr>
          <w:ilvl w:val="0"/>
          <w:numId w:val="90"/>
        </w:numPr>
        <w:bidi/>
        <w:spacing w:after="60" w:line="276" w:lineRule="auto"/>
        <w:ind w:right="567" w:hanging="284"/>
      </w:pPr>
      <w:r>
        <w:rPr>
          <w:rFonts w:ascii="Noto Naskh Arabic" w:hAnsi="Noto Naskh Arabic" w:cs="Noto Naskh Arabic" w:eastAsia="Noto Naskh Arabic"/>
          <w:b w:val="0"/>
          <w:sz w:val="24"/>
          <w:szCs w:val="24"/>
          <w:rtl/>
          <w:lang w:bidi="ar-EG"/>
        </w:rPr>
        <w:t>تدريب 240 موظفًا على مهارات السلامة المهنية والقيادة.</w:t>
      </w:r>
    </w:p>
    <w:p>
      <w:pPr>
        <w:numPr>
          <w:ilvl w:val="0"/>
          <w:numId w:val="90"/>
        </w:numPr>
        <w:bidi/>
        <w:spacing w:after="60" w:line="276" w:lineRule="auto"/>
        <w:ind w:right="567" w:hanging="284"/>
      </w:pPr>
      <w:r>
        <w:rPr>
          <w:rFonts w:ascii="Noto Naskh Arabic" w:hAnsi="Noto Naskh Arabic" w:cs="Noto Naskh Arabic" w:eastAsia="Noto Naskh Arabic"/>
          <w:b w:val="0"/>
          <w:sz w:val="24"/>
          <w:szCs w:val="24"/>
          <w:rtl/>
          <w:lang w:bidi="ar-EG"/>
        </w:rPr>
        <w:t>رفع نسبة تمثيل المرأة في المناصب الإشرافية إلى 28%.</w:t>
      </w:r>
    </w:p>
    <w:p>
      <w:pPr>
        <w:bidi/>
        <w:spacing w:after="80" w:line="276" w:lineRule="auto"/>
      </w:pPr>
      <w:r>
        <w:rPr>
          <w:rFonts w:ascii="Noto Naskh Arabic" w:hAnsi="Noto Naskh Arabic" w:cs="Noto Naskh Arabic" w:eastAsia="Noto Naskh Arabic"/>
          <w:b w:val="0"/>
          <w:sz w:val="24"/>
          <w:szCs w:val="24"/>
          <w:rtl/>
          <w:lang w:bidi="ar-EG"/>
        </w:rPr>
      </w:r>
    </w:p>
    <w:p>
      <w:pPr>
        <w:bidi/>
        <w:spacing w:after="120" w:line="276" w:lineRule="auto"/>
      </w:pPr>
      <w:r>
        <w:rPr>
          <w:rFonts w:ascii="Noto Naskh Arabic" w:hAnsi="Noto Naskh Arabic" w:cs="Noto Naskh Arabic" w:eastAsia="Noto Naskh Arabic"/>
          <w:b/>
          <w:bCs/>
          <w:color w:val="1F3864"/>
          <w:sz w:val="30"/>
          <w:szCs w:val="30"/>
          <w:rtl/>
          <w:lang w:bidi="ar-EG"/>
        </w:rPr>
        <w:t>عدد الموظفين حسب الإدارة</w:t>
      </w:r>
    </w:p>
    <w:tbl>
      <w:tblPr>
        <w:tblStyle w:val="TableGrid"/>
        <w:bidiVisual/>
        <w:tblW w:type="auto" w:w="0"/>
        <w:jc w:val="center"/>
        <w:tblLook w:firstColumn="1" w:firstRow="1" w:lastColumn="0" w:lastRow="0" w:noHBand="0" w:noVBand="1" w:val="04A0"/>
      </w:tblPr>
      <w:tblGrid>
        <w:gridCol w:w="2353"/>
        <w:gridCol w:w="2353"/>
        <w:gridCol w:w="2353"/>
        <w:gridCol w:w="2353"/>
      </w:tblGrid>
      <w:tr>
        <w:tc>
          <w:tcPr>
            <w:tcW w:type="dxa" w:w="2948"/>
            <w:shd w:val="clear" w:color="auto" w:fill="1F3864"/>
          </w:tcPr>
          <w:p>
            <w:pPr>
              <w:bidi/>
              <w:spacing w:after="40" w:before="40"/>
            </w:pPr>
            <w:r>
              <w:rPr>
                <w:rFonts w:ascii="Noto Naskh Arabic" w:hAnsi="Noto Naskh Arabic" w:cs="Noto Naskh Arabic" w:eastAsia="Noto Naskh Arabic"/>
                <w:b/>
                <w:bCs/>
                <w:color w:val="FFFFFF"/>
                <w:sz w:val="22"/>
                <w:szCs w:val="22"/>
                <w:rtl/>
                <w:lang w:bidi="ar-EG"/>
              </w:rPr>
              <w:t>الإدارة</w:t>
            </w:r>
          </w:p>
        </w:tc>
        <w:tc>
          <w:tcPr>
            <w:tcW w:type="dxa" w:w="2041"/>
            <w:shd w:val="clear" w:color="auto" w:fill="1F3864"/>
          </w:tcPr>
          <w:p>
            <w:pPr>
              <w:bidi/>
              <w:spacing w:after="40" w:before="40"/>
              <w:jc w:val="center"/>
            </w:pPr>
            <w:r>
              <w:rPr>
                <w:rFonts w:ascii="Noto Naskh Arabic" w:hAnsi="Noto Naskh Arabic" w:cs="Noto Naskh Arabic" w:eastAsia="Noto Naskh Arabic"/>
                <w:b/>
                <w:bCs/>
                <w:color w:val="FFFFFF"/>
                <w:sz w:val="22"/>
                <w:szCs w:val="22"/>
                <w:rtl/>
                <w:lang w:bidi="ar-EG"/>
              </w:rPr>
              <w:t>عدد الموظفين</w:t>
            </w:r>
          </w:p>
        </w:tc>
        <w:tc>
          <w:tcPr>
            <w:tcW w:type="dxa" w:w="2041"/>
            <w:shd w:val="clear" w:color="auto" w:fill="1F3864"/>
          </w:tcPr>
          <w:p>
            <w:pPr>
              <w:bidi/>
              <w:spacing w:after="40" w:before="40"/>
              <w:jc w:val="center"/>
            </w:pPr>
            <w:r>
              <w:rPr>
                <w:rFonts w:ascii="Noto Naskh Arabic" w:hAnsi="Noto Naskh Arabic" w:cs="Noto Naskh Arabic" w:eastAsia="Noto Naskh Arabic"/>
                <w:b/>
                <w:bCs/>
                <w:color w:val="FFFFFF"/>
                <w:sz w:val="22"/>
                <w:szCs w:val="22"/>
                <w:rtl/>
                <w:lang w:bidi="ar-EG"/>
              </w:rPr>
              <w:t>التعيينات الجديدة</w:t>
            </w:r>
          </w:p>
        </w:tc>
        <w:tc>
          <w:tcPr>
            <w:tcW w:type="dxa" w:w="2041"/>
            <w:shd w:val="clear" w:color="auto" w:fill="1F3864"/>
          </w:tcPr>
          <w:p>
            <w:pPr>
              <w:bidi/>
              <w:spacing w:after="40" w:before="40"/>
              <w:jc w:val="center"/>
            </w:pPr>
            <w:r>
              <w:rPr>
                <w:rFonts w:ascii="Noto Naskh Arabic" w:hAnsi="Noto Naskh Arabic" w:cs="Noto Naskh Arabic" w:eastAsia="Noto Naskh Arabic"/>
                <w:b/>
                <w:bCs/>
                <w:color w:val="FFFFFF"/>
                <w:sz w:val="22"/>
                <w:szCs w:val="22"/>
                <w:rtl/>
                <w:lang w:bidi="ar-EG"/>
              </w:rPr>
              <w:t>نسبة الدوران</w:t>
            </w:r>
          </w:p>
        </w:tc>
      </w:tr>
      <w:tr>
        <w:tc>
          <w:tcPr>
            <w:tcW w:type="dxa" w:w="2948"/>
          </w:tcPr>
          <w:p>
            <w:pPr>
              <w:bidi/>
              <w:spacing w:after="40" w:before="40"/>
            </w:pPr>
            <w:r>
              <w:rPr>
                <w:rFonts w:ascii="Noto Naskh Arabic" w:hAnsi="Noto Naskh Arabic" w:cs="Noto Naskh Arabic" w:eastAsia="Noto Naskh Arabic"/>
                <w:b w:val="0"/>
                <w:sz w:val="22"/>
                <w:szCs w:val="22"/>
                <w:rtl/>
                <w:lang w:bidi="ar-EG"/>
              </w:rPr>
              <w:t>الإنتاج</w:t>
            </w:r>
          </w:p>
        </w:tc>
        <w:tc>
          <w:tcPr>
            <w:tcW w:type="dxa" w:w="2041"/>
          </w:tcPr>
          <w:p>
            <w:pPr>
              <w:bidi/>
              <w:spacing w:after="40" w:before="40"/>
              <w:jc w:val="center"/>
            </w:pPr>
            <w:r>
              <w:rPr>
                <w:rFonts w:ascii="Noto Naskh Arabic" w:hAnsi="Noto Naskh Arabic" w:cs="Noto Naskh Arabic" w:eastAsia="Noto Naskh Arabic"/>
                <w:b w:val="0"/>
                <w:sz w:val="22"/>
                <w:szCs w:val="22"/>
                <w:rtl/>
                <w:lang w:bidi="ar-EG"/>
              </w:rPr>
              <w:t>320</w:t>
            </w:r>
          </w:p>
        </w:tc>
        <w:tc>
          <w:tcPr>
            <w:tcW w:type="dxa" w:w="2041"/>
          </w:tcPr>
          <w:p>
            <w:pPr>
              <w:bidi/>
              <w:spacing w:after="40" w:before="40"/>
              <w:jc w:val="center"/>
            </w:pPr>
            <w:r>
              <w:rPr>
                <w:rFonts w:ascii="Noto Naskh Arabic" w:hAnsi="Noto Naskh Arabic" w:cs="Noto Naskh Arabic" w:eastAsia="Noto Naskh Arabic"/>
                <w:b w:val="0"/>
                <w:sz w:val="22"/>
                <w:szCs w:val="22"/>
                <w:rtl/>
                <w:lang w:bidi="ar-EG"/>
              </w:rPr>
              <w:t>18</w:t>
            </w:r>
          </w:p>
        </w:tc>
        <w:tc>
          <w:tcPr>
            <w:tcW w:type="dxa" w:w="2041"/>
          </w:tcPr>
          <w:p>
            <w:pPr>
              <w:bidi/>
              <w:spacing w:after="40" w:before="40"/>
              <w:jc w:val="center"/>
            </w:pPr>
            <w:r>
              <w:rPr>
                <w:rFonts w:ascii="Noto Naskh Arabic" w:hAnsi="Noto Naskh Arabic" w:cs="Noto Naskh Arabic" w:eastAsia="Noto Naskh Arabic"/>
                <w:b w:val="0"/>
                <w:sz w:val="22"/>
                <w:szCs w:val="22"/>
                <w:rtl/>
                <w:lang w:bidi="ar-EG"/>
              </w:rPr>
              <w:t>14%</w:t>
            </w:r>
          </w:p>
        </w:tc>
      </w:tr>
      <w:tr>
        <w:tc>
          <w:tcPr>
            <w:tcW w:type="dxa" w:w="2948"/>
            <w:shd w:val="clear" w:color="auto" w:fill="F2F2F2"/>
          </w:tcPr>
          <w:p>
            <w:pPr>
              <w:bidi/>
              <w:spacing w:after="40" w:before="40"/>
            </w:pPr>
            <w:r>
              <w:rPr>
                <w:rFonts w:ascii="Noto Naskh Arabic" w:hAnsi="Noto Naskh Arabic" w:cs="Noto Naskh Arabic" w:eastAsia="Noto Naskh Arabic"/>
                <w:b w:val="0"/>
                <w:sz w:val="22"/>
                <w:szCs w:val="22"/>
                <w:rtl/>
                <w:lang w:bidi="ar-EG"/>
              </w:rPr>
              <w:t>المبيعات والتسويق</w:t>
            </w:r>
          </w:p>
        </w:tc>
        <w:tc>
          <w:tcPr>
            <w:tcW w:type="dxa" w:w="2041"/>
            <w:shd w:val="clear" w:color="auto" w:fill="F2F2F2"/>
          </w:tcPr>
          <w:p>
            <w:pPr>
              <w:bidi/>
              <w:spacing w:after="40" w:before="40"/>
              <w:jc w:val="center"/>
            </w:pPr>
            <w:r>
              <w:rPr>
                <w:rFonts w:ascii="Noto Naskh Arabic" w:hAnsi="Noto Naskh Arabic" w:cs="Noto Naskh Arabic" w:eastAsia="Noto Naskh Arabic"/>
                <w:b w:val="0"/>
                <w:sz w:val="22"/>
                <w:szCs w:val="22"/>
                <w:rtl/>
                <w:lang w:bidi="ar-EG"/>
              </w:rPr>
              <w:t>145</w:t>
            </w:r>
          </w:p>
        </w:tc>
        <w:tc>
          <w:tcPr>
            <w:tcW w:type="dxa" w:w="2041"/>
            <w:shd w:val="clear" w:color="auto" w:fill="F2F2F2"/>
          </w:tcPr>
          <w:p>
            <w:pPr>
              <w:bidi/>
              <w:spacing w:after="40" w:before="40"/>
              <w:jc w:val="center"/>
            </w:pPr>
            <w:r>
              <w:rPr>
                <w:rFonts w:ascii="Noto Naskh Arabic" w:hAnsi="Noto Naskh Arabic" w:cs="Noto Naskh Arabic" w:eastAsia="Noto Naskh Arabic"/>
                <w:b w:val="0"/>
                <w:sz w:val="22"/>
                <w:szCs w:val="22"/>
                <w:rtl/>
                <w:lang w:bidi="ar-EG"/>
              </w:rPr>
              <w:t>11</w:t>
            </w:r>
          </w:p>
        </w:tc>
        <w:tc>
          <w:tcPr>
            <w:tcW w:type="dxa" w:w="2041"/>
            <w:shd w:val="clear" w:color="auto" w:fill="F2F2F2"/>
          </w:tcPr>
          <w:p>
            <w:pPr>
              <w:bidi/>
              <w:spacing w:after="40" w:before="40"/>
              <w:jc w:val="center"/>
            </w:pPr>
            <w:r>
              <w:rPr>
                <w:rFonts w:ascii="Noto Naskh Arabic" w:hAnsi="Noto Naskh Arabic" w:cs="Noto Naskh Arabic" w:eastAsia="Noto Naskh Arabic"/>
                <w:b w:val="0"/>
                <w:sz w:val="22"/>
                <w:szCs w:val="22"/>
                <w:rtl/>
                <w:lang w:bidi="ar-EG"/>
              </w:rPr>
              <w:t>13%</w:t>
            </w:r>
          </w:p>
        </w:tc>
      </w:tr>
      <w:tr>
        <w:tc>
          <w:tcPr>
            <w:tcW w:type="dxa" w:w="2948"/>
          </w:tcPr>
          <w:p>
            <w:pPr>
              <w:bidi/>
              <w:spacing w:after="40" w:before="40"/>
            </w:pPr>
            <w:r>
              <w:rPr>
                <w:rFonts w:ascii="Noto Naskh Arabic" w:hAnsi="Noto Naskh Arabic" w:cs="Noto Naskh Arabic" w:eastAsia="Noto Naskh Arabic"/>
                <w:b w:val="0"/>
                <w:sz w:val="22"/>
                <w:szCs w:val="22"/>
                <w:rtl/>
                <w:lang w:bidi="ar-EG"/>
              </w:rPr>
              <w:t>المالية والإدارة</w:t>
            </w:r>
          </w:p>
        </w:tc>
        <w:tc>
          <w:tcPr>
            <w:tcW w:type="dxa" w:w="2041"/>
          </w:tcPr>
          <w:p>
            <w:pPr>
              <w:bidi/>
              <w:spacing w:after="40" w:before="40"/>
              <w:jc w:val="center"/>
            </w:pPr>
            <w:r>
              <w:rPr>
                <w:rFonts w:ascii="Noto Naskh Arabic" w:hAnsi="Noto Naskh Arabic" w:cs="Noto Naskh Arabic" w:eastAsia="Noto Naskh Arabic"/>
                <w:b w:val="0"/>
                <w:sz w:val="22"/>
                <w:szCs w:val="22"/>
                <w:rtl/>
                <w:lang w:bidi="ar-EG"/>
              </w:rPr>
              <w:t>60</w:t>
            </w:r>
          </w:p>
        </w:tc>
        <w:tc>
          <w:tcPr>
            <w:tcW w:type="dxa" w:w="2041"/>
          </w:tcPr>
          <w:p>
            <w:pPr>
              <w:bidi/>
              <w:spacing w:after="40" w:before="40"/>
              <w:jc w:val="center"/>
            </w:pPr>
            <w:r>
              <w:rPr>
                <w:rFonts w:ascii="Noto Naskh Arabic" w:hAnsi="Noto Naskh Arabic" w:cs="Noto Naskh Arabic" w:eastAsia="Noto Naskh Arabic"/>
                <w:b w:val="0"/>
                <w:sz w:val="22"/>
                <w:szCs w:val="22"/>
                <w:rtl/>
                <w:lang w:bidi="ar-EG"/>
              </w:rPr>
              <w:t>3</w:t>
            </w:r>
          </w:p>
        </w:tc>
        <w:tc>
          <w:tcPr>
            <w:tcW w:type="dxa" w:w="2041"/>
          </w:tcPr>
          <w:p>
            <w:pPr>
              <w:bidi/>
              <w:spacing w:after="40" w:before="40"/>
              <w:jc w:val="center"/>
            </w:pPr>
            <w:r>
              <w:rPr>
                <w:rFonts w:ascii="Noto Naskh Arabic" w:hAnsi="Noto Naskh Arabic" w:cs="Noto Naskh Arabic" w:eastAsia="Noto Naskh Arabic"/>
                <w:b w:val="0"/>
                <w:sz w:val="22"/>
                <w:szCs w:val="22"/>
                <w:rtl/>
                <w:lang w:bidi="ar-EG"/>
              </w:rPr>
              <w:t>8%</w:t>
            </w:r>
          </w:p>
        </w:tc>
      </w:tr>
      <w:tr>
        <w:tc>
          <w:tcPr>
            <w:tcW w:type="dxa" w:w="2948"/>
            <w:shd w:val="clear" w:color="auto" w:fill="F2F2F2"/>
          </w:tcPr>
          <w:p>
            <w:pPr>
              <w:bidi/>
              <w:spacing w:after="40" w:before="40"/>
            </w:pPr>
            <w:r>
              <w:rPr>
                <w:rFonts w:ascii="Noto Naskh Arabic" w:hAnsi="Noto Naskh Arabic" w:cs="Noto Naskh Arabic" w:eastAsia="Noto Naskh Arabic"/>
                <w:b w:val="0"/>
                <w:sz w:val="22"/>
                <w:szCs w:val="22"/>
                <w:rtl/>
                <w:lang w:bidi="ar-EG"/>
              </w:rPr>
              <w:t>تكنولوجيا المعلومات</w:t>
            </w:r>
          </w:p>
        </w:tc>
        <w:tc>
          <w:tcPr>
            <w:tcW w:type="dxa" w:w="2041"/>
            <w:shd w:val="clear" w:color="auto" w:fill="F2F2F2"/>
          </w:tcPr>
          <w:p>
            <w:pPr>
              <w:bidi/>
              <w:spacing w:after="40" w:before="40"/>
              <w:jc w:val="center"/>
            </w:pPr>
            <w:r>
              <w:rPr>
                <w:rFonts w:ascii="Noto Naskh Arabic" w:hAnsi="Noto Naskh Arabic" w:cs="Noto Naskh Arabic" w:eastAsia="Noto Naskh Arabic"/>
                <w:b w:val="0"/>
                <w:sz w:val="22"/>
                <w:szCs w:val="22"/>
                <w:rtl/>
                <w:lang w:bidi="ar-EG"/>
              </w:rPr>
              <w:t>45</w:t>
            </w:r>
          </w:p>
        </w:tc>
        <w:tc>
          <w:tcPr>
            <w:tcW w:type="dxa" w:w="2041"/>
            <w:shd w:val="clear" w:color="auto" w:fill="F2F2F2"/>
          </w:tcPr>
          <w:p>
            <w:pPr>
              <w:bidi/>
              <w:spacing w:after="40" w:before="40"/>
              <w:jc w:val="center"/>
            </w:pPr>
            <w:r>
              <w:rPr>
                <w:rFonts w:ascii="Noto Naskh Arabic" w:hAnsi="Noto Naskh Arabic" w:cs="Noto Naskh Arabic" w:eastAsia="Noto Naskh Arabic"/>
                <w:b w:val="0"/>
                <w:sz w:val="22"/>
                <w:szCs w:val="22"/>
                <w:rtl/>
                <w:lang w:bidi="ar-EG"/>
              </w:rPr>
              <w:t>6</w:t>
            </w:r>
          </w:p>
        </w:tc>
        <w:tc>
          <w:tcPr>
            <w:tcW w:type="dxa" w:w="2041"/>
            <w:shd w:val="clear" w:color="auto" w:fill="F2F2F2"/>
          </w:tcPr>
          <w:p>
            <w:pPr>
              <w:bidi/>
              <w:spacing w:after="40" w:before="40"/>
              <w:jc w:val="center"/>
            </w:pPr>
            <w:r>
              <w:rPr>
                <w:rFonts w:ascii="Noto Naskh Arabic" w:hAnsi="Noto Naskh Arabic" w:cs="Noto Naskh Arabic" w:eastAsia="Noto Naskh Arabic"/>
                <w:b w:val="0"/>
                <w:sz w:val="22"/>
                <w:szCs w:val="22"/>
                <w:rtl/>
                <w:lang w:bidi="ar-EG"/>
              </w:rPr>
              <w:t>10%</w:t>
            </w:r>
          </w:p>
        </w:tc>
      </w:tr>
      <w:tr>
        <w:tc>
          <w:tcPr>
            <w:tcW w:type="dxa" w:w="2948"/>
            <w:shd w:val="clear" w:color="auto" w:fill="D9E2F3"/>
          </w:tcPr>
          <w:p>
            <w:pPr>
              <w:bidi/>
              <w:spacing w:after="40" w:before="40"/>
            </w:pPr>
            <w:r>
              <w:rPr>
                <w:rFonts w:ascii="Noto Naskh Arabic" w:hAnsi="Noto Naskh Arabic" w:cs="Noto Naskh Arabic" w:eastAsia="Noto Naskh Arabic"/>
                <w:b/>
                <w:bCs/>
                <w:sz w:val="22"/>
                <w:szCs w:val="22"/>
                <w:rtl/>
                <w:lang w:bidi="ar-EG"/>
              </w:rPr>
              <w:t>الإجمالي</w:t>
            </w:r>
          </w:p>
        </w:tc>
        <w:tc>
          <w:tcPr>
            <w:tcW w:type="dxa" w:w="2041"/>
            <w:shd w:val="clear" w:color="auto" w:fill="D9E2F3"/>
          </w:tcPr>
          <w:p>
            <w:pPr>
              <w:bidi/>
              <w:spacing w:after="40" w:before="40"/>
              <w:jc w:val="center"/>
            </w:pPr>
            <w:r>
              <w:rPr>
                <w:rFonts w:ascii="Noto Naskh Arabic" w:hAnsi="Noto Naskh Arabic" w:cs="Noto Naskh Arabic" w:eastAsia="Noto Naskh Arabic"/>
                <w:b/>
                <w:bCs/>
                <w:sz w:val="22"/>
                <w:szCs w:val="22"/>
                <w:rtl/>
                <w:lang w:bidi="ar-EG"/>
              </w:rPr>
              <w:t>570</w:t>
            </w:r>
          </w:p>
        </w:tc>
        <w:tc>
          <w:tcPr>
            <w:tcW w:type="dxa" w:w="2041"/>
            <w:shd w:val="clear" w:color="auto" w:fill="D9E2F3"/>
          </w:tcPr>
          <w:p>
            <w:pPr>
              <w:bidi/>
              <w:spacing w:after="40" w:before="40"/>
              <w:jc w:val="center"/>
            </w:pPr>
            <w:r>
              <w:rPr>
                <w:rFonts w:ascii="Noto Naskh Arabic" w:hAnsi="Noto Naskh Arabic" w:cs="Noto Naskh Arabic" w:eastAsia="Noto Naskh Arabic"/>
                <w:b/>
                <w:bCs/>
                <w:sz w:val="22"/>
                <w:szCs w:val="22"/>
                <w:rtl/>
                <w:lang w:bidi="ar-EG"/>
              </w:rPr>
              <w:t>38</w:t>
            </w:r>
          </w:p>
        </w:tc>
        <w:tc>
          <w:tcPr>
            <w:tcW w:type="dxa" w:w="2041"/>
            <w:shd w:val="clear" w:color="auto" w:fill="D9E2F3"/>
          </w:tcPr>
          <w:p>
            <w:pPr>
              <w:bidi/>
              <w:spacing w:after="40" w:before="40"/>
              <w:jc w:val="center"/>
            </w:pPr>
            <w:r>
              <w:rPr>
                <w:rFonts w:ascii="Noto Naskh Arabic" w:hAnsi="Noto Naskh Arabic" w:cs="Noto Naskh Arabic" w:eastAsia="Noto Naskh Arabic"/>
                <w:b/>
                <w:bCs/>
                <w:sz w:val="22"/>
                <w:szCs w:val="22"/>
                <w:rtl/>
                <w:lang w:bidi="ar-EG"/>
              </w:rPr>
              <w:t>12%</w:t>
            </w:r>
          </w:p>
        </w:tc>
      </w:tr>
    </w:tbl>
    <w:p>
      <w:pPr>
        <w:bidi/>
        <w:spacing w:after="40" w:line="276" w:lineRule="auto"/>
      </w:pPr>
      <w:r>
        <w:rPr>
          <w:rFonts w:ascii="Noto Naskh Arabic" w:hAnsi="Noto Naskh Arabic" w:cs="Noto Naskh Arabic" w:eastAsia="Noto Naskh Arabic"/>
          <w:b w:val="0"/>
          <w:sz w:val="24"/>
          <w:szCs w:val="24"/>
          <w:rtl/>
          <w:lang w:bidi="ar-EG"/>
        </w:rPr>
      </w:r>
    </w:p>
    <w:p>
      <w:pPr>
        <w:bidi/>
        <w:spacing w:after="0" w:line="276" w:lineRule="auto"/>
      </w:pPr>
      <w:r>
        <w:rPr>
          <w:rFonts w:ascii="Noto Naskh Arabic" w:hAnsi="Noto Naskh Arabic" w:cs="Noto Naskh Arabic" w:eastAsia="Noto Naskh Arabic"/>
          <w:b w:val="0"/>
          <w:color w:val="888888"/>
          <w:sz w:val="20"/>
          <w:szCs w:val="20"/>
          <w:rtl/>
          <w:lang w:bidi="ar-EG"/>
        </w:rPr>
        <w:t>إعداد: إدارة الموارد البشرية — أكتوبر 2026</w:t>
      </w:r>
    </w:p>
    <w:sectPr w:rsidR="00FC693F" w:rsidRPr="0006063C" w:rsidSect="00034616">
      <w:pgSz w:w="11906" w:h="16838"/>
      <w:pgMar w:top="1134" w:right="1247" w:bottom="1134" w:left="124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lvl w:ilvl="0">
      <w:start w:val="1"/>
      <w:numFmt w:val="bullet"/>
      <w:lvlText w:val="●"/>
      <w:lvlJc w:val="left"/>
      <w:pPr>
        <w:bidi/>
        <w:ind w:right="567" w:hanging="284"/>
      </w:pPr>
      <w:rPr>
        <w:rFonts w:ascii="Arial" w:hAnsi="Arial" w:cs="Arial"/>
        <w:color w:val="1F3864"/>
        <w:rt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eastAsia="Noto Naskh Arabic"/>
      <w:lang w:val="ar-EG" w:bidi="ar-E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