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4"/>
          <w:szCs w:val="44"/>
          <w:bCs/>
        </w:rPr>
        <w:t>تقرير الموارد البشرية للربع الثالث ٢٠٢٦</w:t>
      </w:r>
    </w:p>
    <w:p>
      <w:pPr>
        <w:spacing w:line="312" w:lineRule="auto" w:after="240"/>
        <w:jc w:val="center"/>
      </w:pPr>
      <w:r>
        <w:rPr>
          <w:color w:val="595959"/>
          <w:sz w:val="26"/>
          <w:szCs w:val="26"/>
        </w:rPr>
        <w:t>شركة النيل للصناعات الغذائية – القاهرة</w:t>
      </w:r>
    </w:p>
    <w:p>
      <w:pPr>
        <w:pStyle w:val="Heading2"/>
      </w:pPr>
      <w:r>
        <w:t>ملخص الربع</w:t>
      </w:r>
    </w:p>
    <w:p>
      <w:pPr>
        <w:spacing w:line="384" w:lineRule="auto" w:after="160"/>
      </w:pPr>
      <w:r>
        <w:t>شهد الربع الثالث من عام ٢٠٢٦ استقرارًا نسبيًا في القوى العاملة، إذ بلغ إجمالي عدد الموظفين ٤١٢ موظفًا. وسجّل معدل دوران الموظفين ١٢٪، وهو أعلى قليلًا من المستهدف، وتركّزت معظم حالات الاستقالة في إدارة المبيعات بسبب المنافسة على الكفاءات في السوق المحلية.</w:t>
      </w:r>
    </w:p>
    <w:p>
      <w:pPr>
        <w:spacing w:line="384" w:lineRule="auto" w:after="160"/>
      </w:pPr>
      <w:r>
        <w:t>وتواصل الإدارة تنفيذ خطة التوظيف لعام ٢٠٢٦، التي تستهدف تعيين ٤٥ موظفًا جديدًا خلال الربع الأخير مع التركيز على الوظائف التقنية والتشغيلية، إلى جانب برامج استبقاء تشمل مراجعة الرواتب ومسارات واضحة للترقي الوظيفي، بهدف خفض معدل الدوران إلى أقل من ٩٪ في عام ٢٠٢٧.</w:t>
      </w:r>
    </w:p>
    <w:p>
      <w:pPr>
        <w:pStyle w:val="Heading2"/>
      </w:pPr>
      <w:r>
        <w:t>أبرز الإنجازات</w:t>
      </w:r>
    </w:p>
    <w:p>
      <w:pPr>
        <w:pStyle w:val="ListBullet"/>
        <w:spacing w:line="360" w:lineRule="auto" w:after="80"/>
      </w:pPr>
      <w:r>
        <w:t>إتمام تدريب ١٨٠ موظفًا على برامج السلامة المهنية والتحول الرقمي.</w:t>
      </w:r>
    </w:p>
    <w:p>
      <w:pPr>
        <w:pStyle w:val="ListBullet"/>
        <w:spacing w:line="360" w:lineRule="auto" w:after="80"/>
      </w:pPr>
      <w:r>
        <w:t>خفض متوسط مدة التوظيف من ٤٢ يومًا إلى ٣٠ يومًا.</w:t>
      </w:r>
    </w:p>
    <w:p>
      <w:pPr>
        <w:pStyle w:val="ListBullet"/>
        <w:spacing w:line="360" w:lineRule="auto" w:after="80"/>
      </w:pPr>
      <w:r>
        <w:t>ارتفاع مؤشر رضا الموظفين إلى ٧٨٪ مقارنةً بـ٧١٪ في الربع السابق.</w:t>
      </w:r>
    </w:p>
    <w:p>
      <w:pPr>
        <w:pStyle w:val="Heading2"/>
      </w:pPr>
      <w:r>
        <w:t>عدد الموظفين حسب الإدارة</w:t>
      </w:r>
    </w:p>
    <w:tbl>
      <w:tblPr>
        <w:tblStyle w:val="TableGrid"/>
        <w:tblW w:type="auto" w:w="0"/>
        <w:jc w:val="center"/>
        <w:tblLayout w:type="fixed"/>
        <w:tblLook w:firstColumn="1" w:firstRow="1" w:lastColumn="0" w:lastRow="0" w:noHBand="0" w:noVBand="1" w:val="04A0"/>
        <w:bidiVisual/>
      </w:tblPr>
      <w:tblGrid>
        <w:gridCol w:w="3175"/>
        <w:gridCol w:w="2041"/>
        <w:gridCol w:w="2041"/>
        <w:gridCol w:w="2041"/>
      </w:tblGrid>
      <w:tr>
        <w:tc>
          <w:tcPr>
            <w:tcW w:type="dxa" w:w="3175"/>
            <w:shd w:val="clear" w:color="auto" w:fill="1F4E79"/>
          </w:tcPr>
          <w:p>
            <w:pPr>
              <w:spacing w:after="40" w:before="40"/>
            </w:pPr>
            <w:r/>
            <w:r>
              <w:rPr>
                <w:b/>
                <w:color w:val="FFFFFF"/>
                <w:sz w:val="22"/>
                <w:szCs w:val="22"/>
                <w:bCs/>
              </w:rPr>
              <w:t>الإدارة</w:t>
            </w:r>
          </w:p>
        </w:tc>
        <w:tc>
          <w:tcPr>
            <w:tcW w:type="dxa" w:w="2041"/>
            <w:shd w:val="clear" w:color="auto" w:fill="1F4E79"/>
          </w:tcPr>
          <w:p>
            <w:pPr>
              <w:spacing w:after="40" w:before="40"/>
              <w:jc w:val="center"/>
            </w:pPr>
            <w:r/>
            <w:r>
              <w:rPr>
                <w:b/>
                <w:color w:val="FFFFFF"/>
                <w:sz w:val="22"/>
                <w:szCs w:val="22"/>
                <w:bCs/>
              </w:rPr>
              <w:t>عدد الموظفين</w:t>
            </w:r>
          </w:p>
        </w:tc>
        <w:tc>
          <w:tcPr>
            <w:tcW w:type="dxa" w:w="2041"/>
            <w:shd w:val="clear" w:color="auto" w:fill="1F4E79"/>
          </w:tcPr>
          <w:p>
            <w:pPr>
              <w:spacing w:after="40" w:before="40"/>
              <w:jc w:val="center"/>
            </w:pPr>
            <w:r/>
            <w:r>
              <w:rPr>
                <w:b/>
                <w:color w:val="FFFFFF"/>
                <w:sz w:val="22"/>
                <w:szCs w:val="22"/>
                <w:bCs/>
              </w:rPr>
              <w:t>التعيينات الجديدة</w:t>
            </w:r>
          </w:p>
        </w:tc>
        <w:tc>
          <w:tcPr>
            <w:tcW w:type="dxa" w:w="2041"/>
            <w:shd w:val="clear" w:color="auto" w:fill="1F4E79"/>
          </w:tcPr>
          <w:p>
            <w:pPr>
              <w:spacing w:after="40" w:before="40"/>
              <w:jc w:val="center"/>
            </w:pPr>
            <w:r/>
            <w:r>
              <w:rPr>
                <w:b/>
                <w:color w:val="FFFFFF"/>
                <w:sz w:val="22"/>
                <w:szCs w:val="22"/>
                <w:bCs/>
              </w:rPr>
              <w:t>معدل الدوران</w:t>
            </w:r>
          </w:p>
        </w:tc>
      </w:tr>
      <w:tr>
        <w:tc>
          <w:tcPr>
            <w:tcW w:type="dxa" w:w="3175"/>
          </w:tcPr>
          <w:p>
            <w:pPr>
              <w:spacing w:after="40" w:before="40"/>
            </w:pPr>
            <w:r/>
            <w:r>
              <w:rPr>
                <w:sz w:val="22"/>
                <w:szCs w:val="22"/>
              </w:rPr>
              <w:t>الإنتاج والتشغيل</w:t>
            </w:r>
          </w:p>
        </w:tc>
        <w:tc>
          <w:tcPr>
            <w:tcW w:type="dxa" w:w="2041"/>
          </w:tcPr>
          <w:p>
            <w:pPr>
              <w:spacing w:after="40" w:before="40"/>
              <w:jc w:val="center"/>
            </w:pPr>
            <w:r/>
            <w:r>
              <w:rPr>
                <w:sz w:val="22"/>
                <w:szCs w:val="22"/>
              </w:rPr>
              <w:t>١٦٨</w:t>
            </w:r>
          </w:p>
        </w:tc>
        <w:tc>
          <w:tcPr>
            <w:tcW w:type="dxa" w:w="2041"/>
          </w:tcPr>
          <w:p>
            <w:pPr>
              <w:spacing w:after="40" w:before="40"/>
              <w:jc w:val="center"/>
            </w:pPr>
            <w:r/>
            <w:r>
              <w:rPr>
                <w:sz w:val="22"/>
                <w:szCs w:val="22"/>
              </w:rPr>
              <w:t>٩</w:t>
            </w:r>
          </w:p>
        </w:tc>
        <w:tc>
          <w:tcPr>
            <w:tcW w:type="dxa" w:w="2041"/>
          </w:tcPr>
          <w:p>
            <w:pPr>
              <w:spacing w:after="40" w:before="40"/>
              <w:jc w:val="center"/>
            </w:pPr>
            <w:r/>
            <w:r>
              <w:rPr>
                <w:sz w:val="22"/>
                <w:szCs w:val="22"/>
              </w:rPr>
              <w:t>١٠٪</w:t>
            </w:r>
          </w:p>
        </w:tc>
      </w:tr>
      <w:tr>
        <w:tc>
          <w:tcPr>
            <w:tcW w:type="dxa" w:w="3175"/>
            <w:shd w:val="clear" w:color="auto" w:fill="EAF1F8"/>
          </w:tcPr>
          <w:p>
            <w:pPr>
              <w:spacing w:after="40" w:before="40"/>
            </w:pPr>
            <w:r/>
            <w:r>
              <w:rPr>
                <w:sz w:val="22"/>
                <w:szCs w:val="22"/>
              </w:rPr>
              <w:t>المبيعات والتسويق</w:t>
            </w:r>
          </w:p>
        </w:tc>
        <w:tc>
          <w:tcPr>
            <w:tcW w:type="dxa" w:w="2041"/>
            <w:shd w:val="clear" w:color="auto" w:fill="EAF1F8"/>
          </w:tcPr>
          <w:p>
            <w:pPr>
              <w:spacing w:after="40" w:before="40"/>
              <w:jc w:val="center"/>
            </w:pPr>
            <w:r/>
            <w:r>
              <w:rPr>
                <w:sz w:val="22"/>
                <w:szCs w:val="22"/>
              </w:rPr>
              <w:t>١١٢</w:t>
            </w:r>
          </w:p>
        </w:tc>
        <w:tc>
          <w:tcPr>
            <w:tcW w:type="dxa" w:w="2041"/>
            <w:shd w:val="clear" w:color="auto" w:fill="EAF1F8"/>
          </w:tcPr>
          <w:p>
            <w:pPr>
              <w:spacing w:after="40" w:before="40"/>
              <w:jc w:val="center"/>
            </w:pPr>
            <w:r/>
            <w:r>
              <w:rPr>
                <w:sz w:val="22"/>
                <w:szCs w:val="22"/>
              </w:rPr>
              <w:t>١١</w:t>
            </w:r>
          </w:p>
        </w:tc>
        <w:tc>
          <w:tcPr>
            <w:tcW w:type="dxa" w:w="2041"/>
            <w:shd w:val="clear" w:color="auto" w:fill="EAF1F8"/>
          </w:tcPr>
          <w:p>
            <w:pPr>
              <w:spacing w:after="40" w:before="40"/>
              <w:jc w:val="center"/>
            </w:pPr>
            <w:r/>
            <w:r>
              <w:rPr>
                <w:sz w:val="22"/>
                <w:szCs w:val="22"/>
              </w:rPr>
              <w:t>١٨٪</w:t>
            </w:r>
          </w:p>
        </w:tc>
      </w:tr>
      <w:tr>
        <w:tc>
          <w:tcPr>
            <w:tcW w:type="dxa" w:w="3175"/>
          </w:tcPr>
          <w:p>
            <w:pPr>
              <w:spacing w:after="40" w:before="40"/>
            </w:pPr>
            <w:r/>
            <w:r>
              <w:rPr>
                <w:sz w:val="22"/>
                <w:szCs w:val="22"/>
              </w:rPr>
              <w:t>الشؤون المالية والإدارية</w:t>
            </w:r>
          </w:p>
        </w:tc>
        <w:tc>
          <w:tcPr>
            <w:tcW w:type="dxa" w:w="2041"/>
          </w:tcPr>
          <w:p>
            <w:pPr>
              <w:spacing w:after="40" w:before="40"/>
              <w:jc w:val="center"/>
            </w:pPr>
            <w:r/>
            <w:r>
              <w:rPr>
                <w:sz w:val="22"/>
                <w:szCs w:val="22"/>
              </w:rPr>
              <w:t>٧٤</w:t>
            </w:r>
          </w:p>
        </w:tc>
        <w:tc>
          <w:tcPr>
            <w:tcW w:type="dxa" w:w="2041"/>
          </w:tcPr>
          <w:p>
            <w:pPr>
              <w:spacing w:after="40" w:before="40"/>
              <w:jc w:val="center"/>
            </w:pPr>
            <w:r/>
            <w:r>
              <w:rPr>
                <w:sz w:val="22"/>
                <w:szCs w:val="22"/>
              </w:rPr>
              <w:t>٣</w:t>
            </w:r>
          </w:p>
        </w:tc>
        <w:tc>
          <w:tcPr>
            <w:tcW w:type="dxa" w:w="2041"/>
          </w:tcPr>
          <w:p>
            <w:pPr>
              <w:spacing w:after="40" w:before="40"/>
              <w:jc w:val="center"/>
            </w:pPr>
            <w:r/>
            <w:r>
              <w:rPr>
                <w:sz w:val="22"/>
                <w:szCs w:val="22"/>
              </w:rPr>
              <w:t>٨٪</w:t>
            </w:r>
          </w:p>
        </w:tc>
      </w:tr>
      <w:tr>
        <w:tc>
          <w:tcPr>
            <w:tcW w:type="dxa" w:w="3175"/>
            <w:shd w:val="clear" w:color="auto" w:fill="EAF1F8"/>
          </w:tcPr>
          <w:p>
            <w:pPr>
              <w:spacing w:after="40" w:before="40"/>
            </w:pPr>
            <w:r/>
            <w:r>
              <w:rPr>
                <w:sz w:val="22"/>
                <w:szCs w:val="22"/>
              </w:rPr>
              <w:t>تقنية المعلومات</w:t>
            </w:r>
          </w:p>
        </w:tc>
        <w:tc>
          <w:tcPr>
            <w:tcW w:type="dxa" w:w="2041"/>
            <w:shd w:val="clear" w:color="auto" w:fill="EAF1F8"/>
          </w:tcPr>
          <w:p>
            <w:pPr>
              <w:spacing w:after="40" w:before="40"/>
              <w:jc w:val="center"/>
            </w:pPr>
            <w:r/>
            <w:r>
              <w:rPr>
                <w:sz w:val="22"/>
                <w:szCs w:val="22"/>
              </w:rPr>
              <w:t>٥٨</w:t>
            </w:r>
          </w:p>
        </w:tc>
        <w:tc>
          <w:tcPr>
            <w:tcW w:type="dxa" w:w="2041"/>
            <w:shd w:val="clear" w:color="auto" w:fill="EAF1F8"/>
          </w:tcPr>
          <w:p>
            <w:pPr>
              <w:spacing w:after="40" w:before="40"/>
              <w:jc w:val="center"/>
            </w:pPr>
            <w:r/>
            <w:r>
              <w:rPr>
                <w:sz w:val="22"/>
                <w:szCs w:val="22"/>
              </w:rPr>
              <w:t>٦</w:t>
            </w:r>
          </w:p>
        </w:tc>
        <w:tc>
          <w:tcPr>
            <w:tcW w:type="dxa" w:w="2041"/>
            <w:shd w:val="clear" w:color="auto" w:fill="EAF1F8"/>
          </w:tcPr>
          <w:p>
            <w:pPr>
              <w:spacing w:after="40" w:before="40"/>
              <w:jc w:val="center"/>
            </w:pPr>
            <w:r/>
            <w:r>
              <w:rPr>
                <w:sz w:val="22"/>
                <w:szCs w:val="22"/>
              </w:rPr>
              <w:t>١١٪</w:t>
            </w:r>
          </w:p>
        </w:tc>
      </w:tr>
      <w:tr>
        <w:tc>
          <w:tcPr>
            <w:tcW w:type="dxa" w:w="3175"/>
            <w:shd w:val="clear" w:color="auto" w:fill="D6E3F0"/>
          </w:tcPr>
          <w:p>
            <w:pPr>
              <w:spacing w:after="40" w:before="40"/>
            </w:pPr>
            <w:r/>
            <w:r>
              <w:rPr>
                <w:b/>
                <w:sz w:val="22"/>
                <w:szCs w:val="22"/>
                <w:bCs/>
              </w:rPr>
              <w:t>الإجمالي</w:t>
            </w:r>
          </w:p>
        </w:tc>
        <w:tc>
          <w:tcPr>
            <w:tcW w:type="dxa" w:w="2041"/>
            <w:shd w:val="clear" w:color="auto" w:fill="D6E3F0"/>
          </w:tcPr>
          <w:p>
            <w:pPr>
              <w:spacing w:after="40" w:before="40"/>
              <w:jc w:val="center"/>
            </w:pPr>
            <w:r/>
            <w:r>
              <w:rPr>
                <w:b/>
                <w:sz w:val="22"/>
                <w:szCs w:val="22"/>
                <w:bCs/>
              </w:rPr>
              <w:t>٤١٢</w:t>
            </w:r>
          </w:p>
        </w:tc>
        <w:tc>
          <w:tcPr>
            <w:tcW w:type="dxa" w:w="2041"/>
            <w:shd w:val="clear" w:color="auto" w:fill="D6E3F0"/>
          </w:tcPr>
          <w:p>
            <w:pPr>
              <w:spacing w:after="40" w:before="40"/>
              <w:jc w:val="center"/>
            </w:pPr>
            <w:r/>
            <w:r>
              <w:rPr>
                <w:b/>
                <w:sz w:val="22"/>
                <w:szCs w:val="22"/>
                <w:bCs/>
              </w:rPr>
              <w:t>٢٩</w:t>
            </w:r>
          </w:p>
        </w:tc>
        <w:tc>
          <w:tcPr>
            <w:tcW w:type="dxa" w:w="2041"/>
            <w:shd w:val="clear" w:color="auto" w:fill="D6E3F0"/>
          </w:tcPr>
          <w:p>
            <w:pPr>
              <w:spacing w:after="40" w:before="40"/>
              <w:jc w:val="center"/>
            </w:pPr>
            <w:r/>
            <w:r>
              <w:rPr>
                <w:b/>
                <w:sz w:val="22"/>
                <w:szCs w:val="22"/>
                <w:bCs/>
              </w:rPr>
              <w:t>١٢٪</w:t>
            </w:r>
          </w:p>
        </w:tc>
      </w:tr>
    </w:tbl>
    <w:p>
      <w:pPr>
        <w:spacing w:before="160"/>
      </w:pPr>
      <w:r>
        <w:rPr>
          <w:color w:val="595959"/>
          <w:sz w:val="20"/>
          <w:szCs w:val="20"/>
        </w:rPr>
        <w:t>إعداد: إدارة الموارد البشرية – أكتوبر ٢٠٢٦</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sz w:val="24"/>
        <w:szCs w:val="24"/>
        <w:lang w:val="en-US" w:eastAsia="en-US" w:bidi="ar-EG"/>
        <w:rtl/>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sz w:val="20"/>
      <w:szCs w:val="20"/>
    </w:rPr>
  </w:style>
  <w:style w:type="character" w:customStyle="1" w:styleId="MacroTextChar">
    <w:name w:val="Macro Text Char"/>
    <w:basedOn w:val="DefaultParagraphFont"/>
    <w:link w:val="MacroText"/>
    <w:uiPriority w:val="99"/>
    <w:rsid w:val="0029639D"/>
    <w:rPr>
      <w:rFonts w:ascii="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