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Codex-Level Assessment for Hivo Studio / OrchCode Studio</w:t>
      </w:r>
    </w:p>
    <w:p>
      <w:pPr>
        <w:pStyle w:val="Subtitle"/>
      </w:pPr>
      <w:r>
        <w:t>Pros and cons of Codex, estimated parity percentage, and detailed modification checklist</w:t>
      </w:r>
    </w:p>
    <w:tbl>
      <w:tblPr>
        <w:tblStyle w:val="TableGrid"/>
        <w:tblW w:type="dxa" w:w="9360"/>
        <w:jc w:val="center"/>
        <w:tblLayout w:type="fixed"/>
        <w:tblLook w:firstColumn="1" w:firstRow="1" w:lastColumn="0" w:lastRow="0" w:noHBand="0" w:noVBand="1" w:val="04A0"/>
      </w:tblPr>
      <w:tblGrid>
        <w:gridCol w:w="2232"/>
        <w:gridCol w:w="7128"/>
      </w:tblGrid>
      <w:tr>
        <w:trPr>
          <w:tblHeader w:val="true"/>
          <w:cantSplit/>
        </w:trPr>
        <w:tc>
          <w:tcPr>
            <w:tcW w:type="dxa" w:w="2232"/>
            <w:vAlign w:val="top"/>
            <w:tcMar>
              <w:top w:w="80" w:type="dxa"/>
              <w:start w:w="120" w:type="dxa"/>
              <w:bottom w:w="80" w:type="dxa"/>
              <w:end w:w="120" w:type="dxa"/>
            </w:tcMar>
            <w:shd w:fill="E8EEF5"/>
          </w:tcPr>
          <w:p>
            <w:pPr>
              <w:spacing w:after="0"/>
            </w:pPr>
            <w:r>
              <w:rPr>
                <w:b/>
                <w:color w:val="0B2545"/>
                <w:sz w:val="20"/>
              </w:rPr>
              <w:t>Field</w:t>
            </w:r>
          </w:p>
        </w:tc>
        <w:tc>
          <w:tcPr>
            <w:tcW w:type="dxa" w:w="7128"/>
            <w:vAlign w:val="top"/>
            <w:tcMar>
              <w:top w:w="80" w:type="dxa"/>
              <w:start w:w="120" w:type="dxa"/>
              <w:bottom w:w="80" w:type="dxa"/>
              <w:end w:w="120" w:type="dxa"/>
            </w:tcMar>
            <w:shd w:fill="E8EEF5"/>
          </w:tcPr>
          <w:p>
            <w:pPr>
              <w:spacing w:after="0"/>
            </w:pPr>
            <w:r>
              <w:rPr>
                <w:b/>
                <w:color w:val="0B2545"/>
                <w:sz w:val="20"/>
              </w:rPr>
              <w:t>Value</w:t>
            </w:r>
          </w:p>
        </w:tc>
      </w:tr>
      <w:tr>
        <w:trPr>
          <w:cantSplit/>
        </w:trPr>
        <w:tc>
          <w:tcPr>
            <w:tcW w:type="dxa" w:w="2232"/>
            <w:tcMar>
              <w:top w:w="80" w:type="dxa"/>
              <w:start w:w="120" w:type="dxa"/>
              <w:bottom w:w="80" w:type="dxa"/>
              <w:end w:w="120" w:type="dxa"/>
            </w:tcMar>
            <w:vAlign w:val="top"/>
          </w:tcPr>
          <w:p>
            <w:pPr>
              <w:spacing w:after="0"/>
            </w:pPr>
            <w:r>
              <w:rPr>
                <w:sz w:val="20"/>
              </w:rPr>
              <w:t>Repository</w:t>
            </w:r>
          </w:p>
        </w:tc>
        <w:tc>
          <w:tcPr>
            <w:tcW w:type="dxa" w:w="7128"/>
            <w:tcMar>
              <w:top w:w="80" w:type="dxa"/>
              <w:start w:w="120" w:type="dxa"/>
              <w:bottom w:w="80" w:type="dxa"/>
              <w:end w:w="120" w:type="dxa"/>
            </w:tcMar>
            <w:vAlign w:val="top"/>
          </w:tcPr>
          <w:p>
            <w:pPr>
              <w:spacing w:after="0"/>
            </w:pPr>
            <w:r>
              <w:rPr>
                <w:sz w:val="20"/>
              </w:rPr>
              <w:t>D:\projects\Ai\OrchCode_Studio_(Multi-Agent-Coding-System)</w:t>
            </w:r>
          </w:p>
        </w:tc>
      </w:tr>
      <w:tr>
        <w:trPr>
          <w:cantSplit/>
        </w:trPr>
        <w:tc>
          <w:tcPr>
            <w:tcW w:type="dxa" w:w="2232"/>
            <w:tcMar>
              <w:top w:w="80" w:type="dxa"/>
              <w:start w:w="120" w:type="dxa"/>
              <w:bottom w:w="80" w:type="dxa"/>
              <w:end w:w="120" w:type="dxa"/>
            </w:tcMar>
            <w:vAlign w:val="top"/>
          </w:tcPr>
          <w:p>
            <w:pPr>
              <w:spacing w:after="0"/>
            </w:pPr>
            <w:r>
              <w:rPr>
                <w:sz w:val="20"/>
              </w:rPr>
              <w:t>Assessment date</w:t>
            </w:r>
          </w:p>
        </w:tc>
        <w:tc>
          <w:tcPr>
            <w:tcW w:type="dxa" w:w="7128"/>
            <w:tcMar>
              <w:top w:w="80" w:type="dxa"/>
              <w:start w:w="120" w:type="dxa"/>
              <w:bottom w:w="80" w:type="dxa"/>
              <w:end w:w="120" w:type="dxa"/>
            </w:tcMar>
            <w:vAlign w:val="top"/>
          </w:tcPr>
          <w:p>
            <w:pPr>
              <w:spacing w:after="0"/>
            </w:pPr>
            <w:r>
              <w:rPr>
                <w:sz w:val="20"/>
              </w:rPr>
              <w:t>2026-06-22</w:t>
            </w:r>
          </w:p>
        </w:tc>
      </w:tr>
      <w:tr>
        <w:trPr>
          <w:cantSplit/>
        </w:trPr>
        <w:tc>
          <w:tcPr>
            <w:tcW w:type="dxa" w:w="2232"/>
            <w:tcMar>
              <w:top w:w="80" w:type="dxa"/>
              <w:start w:w="120" w:type="dxa"/>
              <w:bottom w:w="80" w:type="dxa"/>
              <w:end w:w="120" w:type="dxa"/>
            </w:tcMar>
            <w:vAlign w:val="top"/>
          </w:tcPr>
          <w:p>
            <w:pPr>
              <w:spacing w:after="0"/>
            </w:pPr>
            <w:r>
              <w:rPr>
                <w:sz w:val="20"/>
              </w:rPr>
              <w:t>Codex source basis</w:t>
            </w:r>
          </w:p>
        </w:tc>
        <w:tc>
          <w:tcPr>
            <w:tcW w:type="dxa" w:w="7128"/>
            <w:tcMar>
              <w:top w:w="80" w:type="dxa"/>
              <w:start w:w="120" w:type="dxa"/>
              <w:bottom w:w="80" w:type="dxa"/>
              <w:end w:w="120" w:type="dxa"/>
            </w:tcMar>
            <w:vAlign w:val="top"/>
          </w:tcPr>
          <w:p>
            <w:pPr>
              <w:spacing w:after="0"/>
            </w:pPr>
            <w:r>
              <w:rPr>
                <w:sz w:val="20"/>
              </w:rPr>
              <w:t>Fresh OpenAI Codex manual fetch from developers.openai.com on 2026-06-22</w:t>
            </w:r>
          </w:p>
        </w:tc>
      </w:tr>
      <w:tr>
        <w:trPr>
          <w:cantSplit/>
        </w:trPr>
        <w:tc>
          <w:tcPr>
            <w:tcW w:type="dxa" w:w="2232"/>
            <w:tcMar>
              <w:top w:w="80" w:type="dxa"/>
              <w:start w:w="120" w:type="dxa"/>
              <w:bottom w:w="80" w:type="dxa"/>
              <w:end w:w="120" w:type="dxa"/>
            </w:tcMar>
            <w:vAlign w:val="top"/>
          </w:tcPr>
          <w:p>
            <w:pPr>
              <w:spacing w:after="0"/>
            </w:pPr>
            <w:r>
              <w:rPr>
                <w:sz w:val="20"/>
              </w:rPr>
              <w:t>Repository evidence basis</w:t>
            </w:r>
          </w:p>
        </w:tc>
        <w:tc>
          <w:tcPr>
            <w:tcW w:type="dxa" w:w="7128"/>
            <w:tcMar>
              <w:top w:w="80" w:type="dxa"/>
              <w:start w:w="120" w:type="dxa"/>
              <w:bottom w:w="80" w:type="dxa"/>
              <w:end w:w="120" w:type="dxa"/>
            </w:tcMar>
            <w:vAlign w:val="top"/>
          </w:tcPr>
          <w:p>
            <w:pPr>
              <w:spacing w:after="0"/>
            </w:pPr>
            <w:r>
              <w:rPr>
                <w:sz w:val="20"/>
              </w:rPr>
              <w:t>README, architecture docs, source inspection, memory status, typecheck, tests, and Rust validation</w:t>
            </w:r>
          </w:p>
        </w:tc>
      </w:tr>
      <w:tr>
        <w:trPr>
          <w:cantSplit/>
        </w:trPr>
        <w:tc>
          <w:tcPr>
            <w:tcW w:type="dxa" w:w="2232"/>
            <w:tcMar>
              <w:top w:w="80" w:type="dxa"/>
              <w:start w:w="120" w:type="dxa"/>
              <w:bottom w:w="80" w:type="dxa"/>
              <w:end w:w="120" w:type="dxa"/>
            </w:tcMar>
            <w:vAlign w:val="top"/>
          </w:tcPr>
          <w:p>
            <w:pPr>
              <w:spacing w:after="0"/>
            </w:pPr>
            <w:r>
              <w:rPr>
                <w:sz w:val="20"/>
              </w:rPr>
              <w:t>Important note</w:t>
            </w:r>
          </w:p>
        </w:tc>
        <w:tc>
          <w:tcPr>
            <w:tcW w:type="dxa" w:w="7128"/>
            <w:tcMar>
              <w:top w:w="80" w:type="dxa"/>
              <w:start w:w="120" w:type="dxa"/>
              <w:bottom w:w="80" w:type="dxa"/>
              <w:end w:w="120" w:type="dxa"/>
            </w:tcMar>
            <w:vAlign w:val="top"/>
          </w:tcPr>
          <w:p>
            <w:pPr>
              <w:spacing w:after="0"/>
            </w:pPr>
            <w:r>
              <w:rPr>
                <w:sz w:val="20"/>
              </w:rPr>
              <w:t>This is a practical maturity estimate, not a claim that Hivo can or should clone OpenAI Codex exactly.</w:t>
            </w:r>
          </w:p>
        </w:tc>
      </w:tr>
    </w:tbl>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40"/>
            </w:pPr>
            <w:r>
              <w:rPr>
                <w:b/>
                <w:color w:val="0B2545"/>
              </w:rPr>
              <w:t>Bottom line</w:t>
            </w:r>
          </w:p>
          <w:p>
            <w:pPr>
              <w:spacing w:after="0"/>
            </w:pPr>
            <w:r>
              <w:t>Hivo Studio is architecturally ambitious and has several Codex-grade building blocks, especially ReasoningKernel v2, SQLite-backed memory, and Rust-owned patch/command authority. The whole product is not yet Codex-level: current verified parity is about 55% overall, with a reasonable uncertainty range of 52-60%. The fastest path upward is not a redesign; it is green validation, stronger provider recovery, durable event authority, and product-surface parity.</w:t>
            </w:r>
          </w:p>
        </w:tc>
      </w:tr>
    </w:tbl>
    <w:p/>
    <w:p>
      <w:pPr>
        <w:pStyle w:val="Heading1"/>
      </w:pPr>
      <w:r>
        <w:t>Executive Summary</w:t>
      </w:r>
    </w:p>
    <w:p>
      <w:r>
        <w:t>The project is no longer only a mock coding-agent shell. It has a real TypeScript runtime, a React/Tauri desktop, a Rust authority layer, SQLite-first project memory, provider-authored reasoning, safety gates, and internal swarm architecture. Those are strong foundations.</w:t>
      </w:r>
    </w:p>
    <w:p>
      <w:r>
        <w:t>The gap against Codex is mostly product maturity and operational reliability: full runtime tests are failing, provider-unavailable paths still block major features, some docs still describe older mock/demo assumptions, session replay is not single-source authoritative for every lifecycle, command safety remains heuristic, and Codex-style extension surfaces such as MCP, skills, plugins, automations, cloud/worktree execution, and IDE integration are not yet comparable.</w:t>
      </w:r>
    </w:p>
    <w:p>
      <w:r>
        <w:t>Recommended headline score: 55% of practical Codex-level parity today. Core architecture is closer to 70-75%; verified product readiness is closer to 40-45%.</w:t>
      </w:r>
    </w:p>
    <w:tbl>
      <w:tblPr>
        <w:tblStyle w:val="TableGrid"/>
        <w:tblW w:type="dxa" w:w="9360"/>
        <w:jc w:val="center"/>
        <w:tblLayout w:type="fixed"/>
        <w:tblLook w:firstColumn="1" w:firstRow="1" w:lastColumn="0" w:lastRow="0" w:noHBand="0" w:noVBand="1" w:val="04A0"/>
      </w:tblPr>
      <w:tblGrid>
        <w:gridCol w:w="2376"/>
        <w:gridCol w:w="2304"/>
        <w:gridCol w:w="4680"/>
      </w:tblGrid>
      <w:tr>
        <w:trPr>
          <w:tblHeader w:val="true"/>
          <w:cantSplit/>
        </w:trPr>
        <w:tc>
          <w:tcPr>
            <w:tcW w:type="dxa" w:w="2376"/>
            <w:vAlign w:val="top"/>
            <w:tcMar>
              <w:top w:w="80" w:type="dxa"/>
              <w:start w:w="120" w:type="dxa"/>
              <w:bottom w:w="80" w:type="dxa"/>
              <w:end w:w="120" w:type="dxa"/>
            </w:tcMar>
            <w:shd w:fill="E8EEF5"/>
          </w:tcPr>
          <w:p>
            <w:pPr>
              <w:spacing w:after="0"/>
            </w:pPr>
            <w:r>
              <w:rPr>
                <w:b/>
                <w:color w:val="0B2545"/>
                <w:sz w:val="20"/>
              </w:rPr>
              <w:t>Signal</w:t>
            </w:r>
          </w:p>
        </w:tc>
        <w:tc>
          <w:tcPr>
            <w:tcW w:type="dxa" w:w="2304"/>
            <w:vAlign w:val="top"/>
            <w:tcMar>
              <w:top w:w="80" w:type="dxa"/>
              <w:start w:w="120" w:type="dxa"/>
              <w:bottom w:w="80" w:type="dxa"/>
              <w:end w:w="120" w:type="dxa"/>
            </w:tcMar>
            <w:shd w:fill="E8EEF5"/>
          </w:tcPr>
          <w:p>
            <w:pPr>
              <w:spacing w:after="0"/>
            </w:pPr>
            <w:r>
              <w:rPr>
                <w:b/>
                <w:color w:val="0B2545"/>
                <w:sz w:val="20"/>
              </w:rPr>
              <w:t>Result</w:t>
            </w:r>
          </w:p>
        </w:tc>
        <w:tc>
          <w:tcPr>
            <w:tcW w:type="dxa" w:w="4680"/>
            <w:vAlign w:val="top"/>
            <w:tcMar>
              <w:top w:w="80" w:type="dxa"/>
              <w:start w:w="120" w:type="dxa"/>
              <w:bottom w:w="80" w:type="dxa"/>
              <w:end w:w="120" w:type="dxa"/>
            </w:tcMar>
            <w:shd w:fill="E8EEF5"/>
          </w:tcPr>
          <w:p>
            <w:pPr>
              <w:spacing w:after="0"/>
            </w:pPr>
            <w:r>
              <w:rPr>
                <w:b/>
                <w:color w:val="0B2545"/>
                <w:sz w:val="20"/>
              </w:rPr>
              <w:t>Meaning</w:t>
            </w:r>
          </w:p>
        </w:tc>
      </w:tr>
      <w:tr>
        <w:trPr>
          <w:cantSplit/>
        </w:trPr>
        <w:tc>
          <w:tcPr>
            <w:tcW w:type="dxa" w:w="2376"/>
            <w:tcMar>
              <w:top w:w="80" w:type="dxa"/>
              <w:start w:w="120" w:type="dxa"/>
              <w:bottom w:w="80" w:type="dxa"/>
              <w:end w:w="120" w:type="dxa"/>
            </w:tcMar>
            <w:vAlign w:val="top"/>
          </w:tcPr>
          <w:p>
            <w:pPr>
              <w:spacing w:after="0"/>
            </w:pPr>
            <w:r>
              <w:rPr>
                <w:sz w:val="20"/>
              </w:rPr>
              <w:t>Memory index</w:t>
            </w:r>
          </w:p>
        </w:tc>
        <w:tc>
          <w:tcPr>
            <w:tcW w:type="dxa" w:w="2304"/>
            <w:tcMar>
              <w:top w:w="80" w:type="dxa"/>
              <w:start w:w="120" w:type="dxa"/>
              <w:bottom w:w="80" w:type="dxa"/>
              <w:end w:w="120" w:type="dxa"/>
            </w:tcMar>
            <w:vAlign w:val="top"/>
          </w:tcPr>
          <w:p>
            <w:pPr>
              <w:spacing w:after="0"/>
            </w:pPr>
            <w:r>
              <w:rPr>
                <w:sz w:val="20"/>
              </w:rPr>
              <w:t>Fresh, schema v2, 433 indexed files</w:t>
            </w:r>
          </w:p>
        </w:tc>
        <w:tc>
          <w:tcPr>
            <w:tcW w:type="dxa" w:w="4680"/>
            <w:tcMar>
              <w:top w:w="80" w:type="dxa"/>
              <w:start w:w="120" w:type="dxa"/>
              <w:bottom w:w="80" w:type="dxa"/>
              <w:end w:w="120" w:type="dxa"/>
            </w:tcMar>
            <w:vAlign w:val="top"/>
          </w:tcPr>
          <w:p>
            <w:pPr>
              <w:spacing w:after="0"/>
            </w:pPr>
            <w:r>
              <w:rPr>
                <w:sz w:val="20"/>
              </w:rPr>
              <w:t>Repository context can be trusted for this assessment.</w:t>
            </w:r>
          </w:p>
        </w:tc>
      </w:tr>
      <w:tr>
        <w:trPr>
          <w:cantSplit/>
        </w:trPr>
        <w:tc>
          <w:tcPr>
            <w:tcW w:type="dxa" w:w="2376"/>
            <w:tcMar>
              <w:top w:w="80" w:type="dxa"/>
              <w:start w:w="120" w:type="dxa"/>
              <w:bottom w:w="80" w:type="dxa"/>
              <w:end w:w="120" w:type="dxa"/>
            </w:tcMar>
            <w:vAlign w:val="top"/>
          </w:tcPr>
          <w:p>
            <w:pPr>
              <w:spacing w:after="0"/>
            </w:pPr>
            <w:r>
              <w:rPr>
                <w:sz w:val="20"/>
              </w:rPr>
              <w:t>TypeScript typecheck</w:t>
            </w:r>
          </w:p>
        </w:tc>
        <w:tc>
          <w:tcPr>
            <w:tcW w:type="dxa" w:w="2304"/>
            <w:tcMar>
              <w:top w:w="80" w:type="dxa"/>
              <w:start w:w="120" w:type="dxa"/>
              <w:bottom w:w="80" w:type="dxa"/>
              <w:end w:w="120" w:type="dxa"/>
            </w:tcMar>
            <w:vAlign w:val="top"/>
          </w:tcPr>
          <w:p>
            <w:pPr>
              <w:spacing w:after="0"/>
            </w:pPr>
            <w:r>
              <w:rPr>
                <w:sz w:val="20"/>
              </w:rPr>
              <w:t>Passed</w:t>
            </w:r>
          </w:p>
        </w:tc>
        <w:tc>
          <w:tcPr>
            <w:tcW w:type="dxa" w:w="4680"/>
            <w:tcMar>
              <w:top w:w="80" w:type="dxa"/>
              <w:start w:w="120" w:type="dxa"/>
              <w:bottom w:w="80" w:type="dxa"/>
              <w:end w:w="120" w:type="dxa"/>
            </w:tcMar>
            <w:vAlign w:val="top"/>
          </w:tcPr>
          <w:p>
            <w:pPr>
              <w:spacing w:after="0"/>
            </w:pPr>
            <w:r>
              <w:rPr>
                <w:sz w:val="20"/>
              </w:rPr>
              <w:t>Protocol, runtime, and desktop TypeScript compile cleanly.</w:t>
            </w:r>
          </w:p>
        </w:tc>
      </w:tr>
      <w:tr>
        <w:trPr>
          <w:cantSplit/>
        </w:trPr>
        <w:tc>
          <w:tcPr>
            <w:tcW w:type="dxa" w:w="2376"/>
            <w:tcMar>
              <w:top w:w="80" w:type="dxa"/>
              <w:start w:w="120" w:type="dxa"/>
              <w:bottom w:w="80" w:type="dxa"/>
              <w:end w:w="120" w:type="dxa"/>
            </w:tcMar>
            <w:vAlign w:val="top"/>
          </w:tcPr>
          <w:p>
            <w:pPr>
              <w:spacing w:after="0"/>
            </w:pPr>
            <w:r>
              <w:rPr>
                <w:sz w:val="20"/>
              </w:rPr>
              <w:t>ReasoningKernel v2 suite</w:t>
            </w:r>
          </w:p>
        </w:tc>
        <w:tc>
          <w:tcPr>
            <w:tcW w:type="dxa" w:w="2304"/>
            <w:tcMar>
              <w:top w:w="80" w:type="dxa"/>
              <w:start w:w="120" w:type="dxa"/>
              <w:bottom w:w="80" w:type="dxa"/>
              <w:end w:w="120" w:type="dxa"/>
            </w:tcMar>
            <w:vAlign w:val="top"/>
          </w:tcPr>
          <w:p>
            <w:pPr>
              <w:spacing w:after="0"/>
            </w:pPr>
            <w:r>
              <w:rPr>
                <w:sz w:val="20"/>
              </w:rPr>
              <w:t>42 passed / 0 failed</w:t>
            </w:r>
          </w:p>
        </w:tc>
        <w:tc>
          <w:tcPr>
            <w:tcW w:type="dxa" w:w="4680"/>
            <w:tcMar>
              <w:top w:w="80" w:type="dxa"/>
              <w:start w:w="120" w:type="dxa"/>
              <w:bottom w:w="80" w:type="dxa"/>
              <w:end w:w="120" w:type="dxa"/>
            </w:tcMar>
            <w:vAlign w:val="top"/>
          </w:tcPr>
          <w:p>
            <w:pPr>
              <w:spacing w:after="0"/>
            </w:pPr>
            <w:r>
              <w:rPr>
                <w:sz w:val="20"/>
              </w:rPr>
              <w:t>The provider-truth and adaptive reasoning core is strong.</w:t>
            </w:r>
          </w:p>
        </w:tc>
      </w:tr>
      <w:tr>
        <w:trPr>
          <w:cantSplit/>
        </w:trPr>
        <w:tc>
          <w:tcPr>
            <w:tcW w:type="dxa" w:w="2376"/>
            <w:tcMar>
              <w:top w:w="80" w:type="dxa"/>
              <w:start w:w="120" w:type="dxa"/>
              <w:bottom w:w="80" w:type="dxa"/>
              <w:end w:w="120" w:type="dxa"/>
            </w:tcMar>
            <w:vAlign w:val="top"/>
          </w:tcPr>
          <w:p>
            <w:pPr>
              <w:spacing w:after="0"/>
            </w:pPr>
            <w:r>
              <w:rPr>
                <w:sz w:val="20"/>
              </w:rPr>
              <w:t>Rust/Tauri tests</w:t>
            </w:r>
          </w:p>
        </w:tc>
        <w:tc>
          <w:tcPr>
            <w:tcW w:type="dxa" w:w="2304"/>
            <w:tcMar>
              <w:top w:w="80" w:type="dxa"/>
              <w:start w:w="120" w:type="dxa"/>
              <w:bottom w:w="80" w:type="dxa"/>
              <w:end w:w="120" w:type="dxa"/>
            </w:tcMar>
            <w:vAlign w:val="top"/>
          </w:tcPr>
          <w:p>
            <w:pPr>
              <w:spacing w:after="0"/>
            </w:pPr>
            <w:r>
              <w:rPr>
                <w:sz w:val="20"/>
              </w:rPr>
              <w:t>20 plus 18 passed / 0 failed</w:t>
            </w:r>
          </w:p>
        </w:tc>
        <w:tc>
          <w:tcPr>
            <w:tcW w:type="dxa" w:w="4680"/>
            <w:tcMar>
              <w:top w:w="80" w:type="dxa"/>
              <w:start w:w="120" w:type="dxa"/>
              <w:bottom w:w="80" w:type="dxa"/>
              <w:end w:w="120" w:type="dxa"/>
            </w:tcMar>
            <w:vAlign w:val="top"/>
          </w:tcPr>
          <w:p>
            <w:pPr>
              <w:spacing w:after="0"/>
            </w:pPr>
            <w:r>
              <w:rPr>
                <w:sz w:val="20"/>
              </w:rPr>
              <w:t>Workspace, command, patch, and SQLite authority tests are healthy.</w:t>
            </w:r>
          </w:p>
        </w:tc>
      </w:tr>
      <w:tr>
        <w:trPr>
          <w:cantSplit/>
        </w:trPr>
        <w:tc>
          <w:tcPr>
            <w:tcW w:type="dxa" w:w="2376"/>
            <w:tcMar>
              <w:top w:w="80" w:type="dxa"/>
              <w:start w:w="120" w:type="dxa"/>
              <w:bottom w:w="80" w:type="dxa"/>
              <w:end w:w="120" w:type="dxa"/>
            </w:tcMar>
            <w:vAlign w:val="top"/>
          </w:tcPr>
          <w:p>
            <w:pPr>
              <w:spacing w:after="0"/>
            </w:pPr>
            <w:r>
              <w:rPr>
                <w:sz w:val="20"/>
              </w:rPr>
              <w:t>Full runtime suite</w:t>
            </w:r>
          </w:p>
        </w:tc>
        <w:tc>
          <w:tcPr>
            <w:tcW w:type="dxa" w:w="2304"/>
            <w:tcMar>
              <w:top w:w="80" w:type="dxa"/>
              <w:start w:w="120" w:type="dxa"/>
              <w:bottom w:w="80" w:type="dxa"/>
              <w:end w:w="120" w:type="dxa"/>
            </w:tcMar>
            <w:vAlign w:val="top"/>
          </w:tcPr>
          <w:p>
            <w:pPr>
              <w:spacing w:after="0"/>
            </w:pPr>
            <w:r>
              <w:rPr>
                <w:sz w:val="20"/>
              </w:rPr>
              <w:t>503 passed / 156 failed</w:t>
            </w:r>
          </w:p>
        </w:tc>
        <w:tc>
          <w:tcPr>
            <w:tcW w:type="dxa" w:w="4680"/>
            <w:tcMar>
              <w:top w:w="80" w:type="dxa"/>
              <w:start w:w="120" w:type="dxa"/>
              <w:bottom w:w="80" w:type="dxa"/>
              <w:end w:w="120" w:type="dxa"/>
            </w:tcMar>
            <w:vAlign w:val="top"/>
          </w:tcPr>
          <w:p>
            <w:pPr>
              <w:spacing w:after="0"/>
            </w:pPr>
            <w:r>
              <w:rPr>
                <w:sz w:val="20"/>
              </w:rPr>
              <w:t>End-to-end runtime product maturity is not yet release-grade.</w:t>
            </w:r>
          </w:p>
        </w:tc>
      </w:tr>
      <w:tr>
        <w:trPr>
          <w:cantSplit/>
        </w:trPr>
        <w:tc>
          <w:tcPr>
            <w:tcW w:type="dxa" w:w="2376"/>
            <w:tcMar>
              <w:top w:w="80" w:type="dxa"/>
              <w:start w:w="120" w:type="dxa"/>
              <w:bottom w:w="80" w:type="dxa"/>
              <w:end w:w="120" w:type="dxa"/>
            </w:tcMar>
            <w:vAlign w:val="top"/>
          </w:tcPr>
          <w:p>
            <w:pPr>
              <w:spacing w:after="0"/>
            </w:pPr>
            <w:r>
              <w:rPr>
                <w:sz w:val="20"/>
              </w:rPr>
              <w:t>Worktree state</w:t>
            </w:r>
          </w:p>
        </w:tc>
        <w:tc>
          <w:tcPr>
            <w:tcW w:type="dxa" w:w="2304"/>
            <w:tcMar>
              <w:top w:w="80" w:type="dxa"/>
              <w:start w:w="120" w:type="dxa"/>
              <w:bottom w:w="80" w:type="dxa"/>
              <w:end w:w="120" w:type="dxa"/>
            </w:tcMar>
            <w:vAlign w:val="top"/>
          </w:tcPr>
          <w:p>
            <w:pPr>
              <w:spacing w:after="0"/>
            </w:pPr>
            <w:r>
              <w:rPr>
                <w:sz w:val="20"/>
              </w:rPr>
              <w:t>Already dirty before report</w:t>
            </w:r>
          </w:p>
        </w:tc>
        <w:tc>
          <w:tcPr>
            <w:tcW w:type="dxa" w:w="4680"/>
            <w:tcMar>
              <w:top w:w="80" w:type="dxa"/>
              <w:start w:w="120" w:type="dxa"/>
              <w:bottom w:w="80" w:type="dxa"/>
              <w:end w:w="120" w:type="dxa"/>
            </w:tcMar>
            <w:vAlign w:val="top"/>
          </w:tcPr>
          <w:p>
            <w:pPr>
              <w:spacing w:after="0"/>
            </w:pPr>
            <w:r>
              <w:rPr>
                <w:sz w:val="20"/>
              </w:rPr>
              <w:t>The report avoids modifying source code and adds only a generated document artifact.</w:t>
            </w:r>
          </w:p>
        </w:tc>
      </w:tr>
    </w:tbl>
    <w:p/>
    <w:p>
      <w:pPr>
        <w:pStyle w:val="Heading1"/>
      </w:pPr>
      <w:r>
        <w:t>How To Interpret The Percentage</w:t>
      </w:r>
    </w:p>
    <w:p>
      <w:r>
        <w:t>The percentage answers: if Codex is treated as the public product benchmark for a modern coding agent, how close is Hivo Studio today in implemented, validated, operator-usable capability?</w:t>
      </w:r>
    </w:p>
    <w:p>
      <w:r>
        <w:t>The score deliberately separates architecture from shipped reliability. A system can have an impressive design and still score lower if the full suite fails, provider paths are brittle, or user-facing workflows are incomplete.</w:t>
      </w:r>
    </w:p>
    <w:tbl>
      <w:tblPr>
        <w:tblStyle w:val="TableGrid"/>
        <w:tblW w:type="dxa" w:w="9360"/>
        <w:jc w:val="center"/>
        <w:tblLayout w:type="fixed"/>
        <w:tblLook w:firstColumn="1" w:firstRow="1" w:lastColumn="0" w:lastRow="0" w:noHBand="0" w:noVBand="1" w:val="04A0"/>
      </w:tblPr>
      <w:tblGrid>
        <w:gridCol w:w="1800"/>
        <w:gridCol w:w="792"/>
        <w:gridCol w:w="2520"/>
        <w:gridCol w:w="3240"/>
        <w:gridCol w:w="1007"/>
      </w:tblGrid>
      <w:tr>
        <w:trPr>
          <w:tblHeader w:val="true"/>
          <w:cantSplit/>
        </w:trPr>
        <w:tc>
          <w:tcPr>
            <w:tcW w:type="dxa" w:w="1800"/>
            <w:vAlign w:val="top"/>
            <w:tcMar>
              <w:top w:w="80" w:type="dxa"/>
              <w:start w:w="120" w:type="dxa"/>
              <w:bottom w:w="80" w:type="dxa"/>
              <w:end w:w="120" w:type="dxa"/>
            </w:tcMar>
            <w:shd w:fill="E8EEF5"/>
          </w:tcPr>
          <w:p>
            <w:pPr>
              <w:spacing w:after="0"/>
            </w:pPr>
            <w:r>
              <w:rPr>
                <w:b/>
                <w:color w:val="0B2545"/>
                <w:sz w:val="20"/>
              </w:rPr>
              <w:t>Capability</w:t>
            </w:r>
          </w:p>
        </w:tc>
        <w:tc>
          <w:tcPr>
            <w:tcW w:type="dxa" w:w="792"/>
            <w:vAlign w:val="top"/>
            <w:tcMar>
              <w:top w:w="80" w:type="dxa"/>
              <w:start w:w="120" w:type="dxa"/>
              <w:bottom w:w="80" w:type="dxa"/>
              <w:end w:w="120" w:type="dxa"/>
            </w:tcMar>
            <w:shd w:fill="E8EEF5"/>
          </w:tcPr>
          <w:p>
            <w:pPr>
              <w:spacing w:after="0"/>
            </w:pPr>
            <w:r>
              <w:rPr>
                <w:b/>
                <w:color w:val="0B2545"/>
                <w:sz w:val="20"/>
              </w:rPr>
              <w:t>Weight</w:t>
            </w:r>
          </w:p>
        </w:tc>
        <w:tc>
          <w:tcPr>
            <w:tcW w:type="dxa" w:w="2520"/>
            <w:vAlign w:val="top"/>
            <w:tcMar>
              <w:top w:w="80" w:type="dxa"/>
              <w:start w:w="120" w:type="dxa"/>
              <w:bottom w:w="80" w:type="dxa"/>
              <w:end w:w="120" w:type="dxa"/>
            </w:tcMar>
            <w:shd w:fill="E8EEF5"/>
          </w:tcPr>
          <w:p>
            <w:pPr>
              <w:spacing w:after="0"/>
            </w:pPr>
            <w:r>
              <w:rPr>
                <w:b/>
                <w:color w:val="0B2545"/>
                <w:sz w:val="20"/>
              </w:rPr>
              <w:t>Codex-level expectation</w:t>
            </w:r>
          </w:p>
        </w:tc>
        <w:tc>
          <w:tcPr>
            <w:tcW w:type="dxa" w:w="3240"/>
            <w:vAlign w:val="top"/>
            <w:tcMar>
              <w:top w:w="80" w:type="dxa"/>
              <w:start w:w="120" w:type="dxa"/>
              <w:bottom w:w="80" w:type="dxa"/>
              <w:end w:w="120" w:type="dxa"/>
            </w:tcMar>
            <w:shd w:fill="E8EEF5"/>
          </w:tcPr>
          <w:p>
            <w:pPr>
              <w:spacing w:after="0"/>
            </w:pPr>
            <w:r>
              <w:rPr>
                <w:b/>
                <w:color w:val="0B2545"/>
                <w:sz w:val="20"/>
              </w:rPr>
              <w:t>Hivo evidence</w:t>
            </w:r>
          </w:p>
        </w:tc>
        <w:tc>
          <w:tcPr>
            <w:tcW w:type="dxa" w:w="1008"/>
            <w:vAlign w:val="top"/>
            <w:tcMar>
              <w:top w:w="80" w:type="dxa"/>
              <w:start w:w="120" w:type="dxa"/>
              <w:bottom w:w="80" w:type="dxa"/>
              <w:end w:w="120" w:type="dxa"/>
            </w:tcMar>
            <w:shd w:fill="E8EEF5"/>
          </w:tcPr>
          <w:p>
            <w:pPr>
              <w:spacing w:after="0"/>
            </w:pPr>
            <w:r>
              <w:rPr>
                <w:b/>
                <w:color w:val="0B2545"/>
                <w:sz w:val="20"/>
              </w:rPr>
              <w:t>Score</w:t>
            </w:r>
          </w:p>
        </w:tc>
      </w:tr>
      <w:tr>
        <w:trPr>
          <w:cantSplit/>
        </w:trPr>
        <w:tc>
          <w:tcPr>
            <w:tcW w:type="dxa" w:w="1800"/>
            <w:tcMar>
              <w:top w:w="80" w:type="dxa"/>
              <w:start w:w="120" w:type="dxa"/>
              <w:bottom w:w="80" w:type="dxa"/>
              <w:end w:w="120" w:type="dxa"/>
            </w:tcMar>
            <w:vAlign w:val="top"/>
          </w:tcPr>
          <w:p>
            <w:pPr>
              <w:spacing w:after="0"/>
            </w:pPr>
            <w:r>
              <w:rPr>
                <w:sz w:val="20"/>
              </w:rPr>
              <w:t>Core coding workflow</w:t>
            </w:r>
          </w:p>
        </w:tc>
        <w:tc>
          <w:tcPr>
            <w:tcW w:type="dxa" w:w="792"/>
            <w:tcMar>
              <w:top w:w="80" w:type="dxa"/>
              <w:start w:w="120" w:type="dxa"/>
              <w:bottom w:w="80" w:type="dxa"/>
              <w:end w:w="120" w:type="dxa"/>
            </w:tcMar>
            <w:vAlign w:val="top"/>
          </w:tcPr>
          <w:p>
            <w:pPr>
              <w:spacing w:after="0"/>
            </w:pPr>
            <w:r>
              <w:rPr>
                <w:sz w:val="20"/>
              </w:rPr>
              <w:t>15%</w:t>
            </w:r>
          </w:p>
        </w:tc>
        <w:tc>
          <w:tcPr>
            <w:tcW w:type="dxa" w:w="2520"/>
            <w:tcMar>
              <w:top w:w="80" w:type="dxa"/>
              <w:start w:w="120" w:type="dxa"/>
              <w:bottom w:w="80" w:type="dxa"/>
              <w:end w:w="120" w:type="dxa"/>
            </w:tcMar>
            <w:vAlign w:val="top"/>
          </w:tcPr>
          <w:p>
            <w:pPr>
              <w:spacing w:after="0"/>
            </w:pPr>
            <w:r>
              <w:rPr>
                <w:sz w:val="20"/>
              </w:rPr>
              <w:t>Can write, understand, review, debug, and automate code in local projects.</w:t>
            </w:r>
          </w:p>
        </w:tc>
        <w:tc>
          <w:tcPr>
            <w:tcW w:type="dxa" w:w="3240"/>
            <w:tcMar>
              <w:top w:w="80" w:type="dxa"/>
              <w:start w:w="120" w:type="dxa"/>
              <w:bottom w:w="80" w:type="dxa"/>
              <w:end w:w="120" w:type="dxa"/>
            </w:tcMar>
            <w:vAlign w:val="top"/>
          </w:tcPr>
          <w:p>
            <w:pPr>
              <w:spacing w:after="0"/>
            </w:pPr>
            <w:r>
              <w:rPr>
                <w:sz w:val="20"/>
              </w:rPr>
              <w:t>Patch proposal and Rust apply exist, but full end-to-end apply/verify is not consistently green.</w:t>
            </w:r>
          </w:p>
        </w:tc>
        <w:tc>
          <w:tcPr>
            <w:tcW w:type="dxa" w:w="1008"/>
            <w:tcMar>
              <w:top w:w="80" w:type="dxa"/>
              <w:start w:w="120" w:type="dxa"/>
              <w:bottom w:w="80" w:type="dxa"/>
              <w:end w:w="120" w:type="dxa"/>
            </w:tcMar>
            <w:vAlign w:val="top"/>
          </w:tcPr>
          <w:p>
            <w:pPr>
              <w:spacing w:after="0"/>
            </w:pPr>
            <w:r>
              <w:rPr>
                <w:sz w:val="20"/>
              </w:rPr>
              <w:t>55%</w:t>
            </w:r>
          </w:p>
        </w:tc>
      </w:tr>
      <w:tr>
        <w:trPr>
          <w:cantSplit/>
        </w:trPr>
        <w:tc>
          <w:tcPr>
            <w:tcW w:type="dxa" w:w="1800"/>
            <w:tcMar>
              <w:top w:w="80" w:type="dxa"/>
              <w:start w:w="120" w:type="dxa"/>
              <w:bottom w:w="80" w:type="dxa"/>
              <w:end w:w="120" w:type="dxa"/>
            </w:tcMar>
            <w:vAlign w:val="top"/>
          </w:tcPr>
          <w:p>
            <w:pPr>
              <w:spacing w:after="0"/>
            </w:pPr>
            <w:r>
              <w:rPr>
                <w:sz w:val="20"/>
              </w:rPr>
              <w:t>Code understanding and review</w:t>
            </w:r>
          </w:p>
        </w:tc>
        <w:tc>
          <w:tcPr>
            <w:tcW w:type="dxa" w:w="792"/>
            <w:tcMar>
              <w:top w:w="80" w:type="dxa"/>
              <w:start w:w="120" w:type="dxa"/>
              <w:bottom w:w="80" w:type="dxa"/>
              <w:end w:w="120" w:type="dxa"/>
            </w:tcMar>
            <w:vAlign w:val="top"/>
          </w:tcPr>
          <w:p>
            <w:pPr>
              <w:spacing w:after="0"/>
            </w:pPr>
            <w:r>
              <w:rPr>
                <w:sz w:val="20"/>
              </w:rPr>
              <w:t>15%</w:t>
            </w:r>
          </w:p>
        </w:tc>
        <w:tc>
          <w:tcPr>
            <w:tcW w:type="dxa" w:w="2520"/>
            <w:tcMar>
              <w:top w:w="80" w:type="dxa"/>
              <w:start w:w="120" w:type="dxa"/>
              <w:bottom w:w="80" w:type="dxa"/>
              <w:end w:w="120" w:type="dxa"/>
            </w:tcMar>
            <w:vAlign w:val="top"/>
          </w:tcPr>
          <w:p>
            <w:pPr>
              <w:spacing w:after="0"/>
            </w:pPr>
            <w:r>
              <w:rPr>
                <w:sz w:val="20"/>
              </w:rPr>
              <w:t>Explains unfamiliar codebases and reviews bugs/edge cases.</w:t>
            </w:r>
          </w:p>
        </w:tc>
        <w:tc>
          <w:tcPr>
            <w:tcW w:type="dxa" w:w="3240"/>
            <w:tcMar>
              <w:top w:w="80" w:type="dxa"/>
              <w:start w:w="120" w:type="dxa"/>
              <w:bottom w:w="80" w:type="dxa"/>
              <w:end w:w="120" w:type="dxa"/>
            </w:tcMar>
            <w:vAlign w:val="top"/>
          </w:tcPr>
          <w:p>
            <w:pPr>
              <w:spacing w:after="0"/>
            </w:pPr>
            <w:r>
              <w:rPr>
                <w:sz w:val="20"/>
              </w:rPr>
              <w:t>Fresh memory, evidence refs, and deep lanes exist; arbitrary deep project understanding is still incomplete.</w:t>
            </w:r>
          </w:p>
        </w:tc>
        <w:tc>
          <w:tcPr>
            <w:tcW w:type="dxa" w:w="1008"/>
            <w:tcMar>
              <w:top w:w="80" w:type="dxa"/>
              <w:start w:w="120" w:type="dxa"/>
              <w:bottom w:w="80" w:type="dxa"/>
              <w:end w:w="120" w:type="dxa"/>
            </w:tcMar>
            <w:vAlign w:val="top"/>
          </w:tcPr>
          <w:p>
            <w:pPr>
              <w:spacing w:after="0"/>
            </w:pPr>
            <w:r>
              <w:rPr>
                <w:sz w:val="20"/>
              </w:rPr>
              <w:t>58%</w:t>
            </w:r>
          </w:p>
        </w:tc>
      </w:tr>
      <w:tr>
        <w:trPr>
          <w:cantSplit/>
        </w:trPr>
        <w:tc>
          <w:tcPr>
            <w:tcW w:type="dxa" w:w="1800"/>
            <w:tcMar>
              <w:top w:w="80" w:type="dxa"/>
              <w:start w:w="120" w:type="dxa"/>
              <w:bottom w:w="80" w:type="dxa"/>
              <w:end w:w="120" w:type="dxa"/>
            </w:tcMar>
            <w:vAlign w:val="top"/>
          </w:tcPr>
          <w:p>
            <w:pPr>
              <w:spacing w:after="0"/>
            </w:pPr>
            <w:r>
              <w:rPr>
                <w:sz w:val="20"/>
              </w:rPr>
              <w:t>Provider reasoning truth</w:t>
            </w:r>
          </w:p>
        </w:tc>
        <w:tc>
          <w:tcPr>
            <w:tcW w:type="dxa" w:w="792"/>
            <w:tcMar>
              <w:top w:w="80" w:type="dxa"/>
              <w:start w:w="120" w:type="dxa"/>
              <w:bottom w:w="80" w:type="dxa"/>
              <w:end w:w="120" w:type="dxa"/>
            </w:tcMar>
            <w:vAlign w:val="top"/>
          </w:tcPr>
          <w:p>
            <w:pPr>
              <w:spacing w:after="0"/>
            </w:pPr>
            <w:r>
              <w:rPr>
                <w:sz w:val="20"/>
              </w:rPr>
              <w:t>12%</w:t>
            </w:r>
          </w:p>
        </w:tc>
        <w:tc>
          <w:tcPr>
            <w:tcW w:type="dxa" w:w="2520"/>
            <w:tcMar>
              <w:top w:w="80" w:type="dxa"/>
              <w:start w:w="120" w:type="dxa"/>
              <w:bottom w:w="80" w:type="dxa"/>
              <w:end w:w="120" w:type="dxa"/>
            </w:tcMar>
            <w:vAlign w:val="top"/>
          </w:tcPr>
          <w:p>
            <w:pPr>
              <w:spacing w:after="0"/>
            </w:pPr>
            <w:r>
              <w:rPr>
                <w:sz w:val="20"/>
              </w:rPr>
              <w:t>Provider owns reasoning/prose while tools own facts and authority.</w:t>
            </w:r>
          </w:p>
        </w:tc>
        <w:tc>
          <w:tcPr>
            <w:tcW w:type="dxa" w:w="3240"/>
            <w:tcMar>
              <w:top w:w="80" w:type="dxa"/>
              <w:start w:w="120" w:type="dxa"/>
              <w:bottom w:w="80" w:type="dxa"/>
              <w:end w:w="120" w:type="dxa"/>
            </w:tcMar>
            <w:vAlign w:val="top"/>
          </w:tcPr>
          <w:p>
            <w:pPr>
              <w:spacing w:after="0"/>
            </w:pPr>
            <w:r>
              <w:rPr>
                <w:sz w:val="20"/>
              </w:rPr>
              <w:t>ReasoningKernel v2 is strong, green in its focused suite, and avoids local assistant fallback.</w:t>
            </w:r>
          </w:p>
        </w:tc>
        <w:tc>
          <w:tcPr>
            <w:tcW w:type="dxa" w:w="1008"/>
            <w:tcMar>
              <w:top w:w="80" w:type="dxa"/>
              <w:start w:w="120" w:type="dxa"/>
              <w:bottom w:w="80" w:type="dxa"/>
              <w:end w:w="120" w:type="dxa"/>
            </w:tcMar>
            <w:vAlign w:val="top"/>
          </w:tcPr>
          <w:p>
            <w:pPr>
              <w:spacing w:after="0"/>
            </w:pPr>
            <w:r>
              <w:rPr>
                <w:sz w:val="20"/>
              </w:rPr>
              <w:t>72%</w:t>
            </w:r>
          </w:p>
        </w:tc>
      </w:tr>
      <w:tr>
        <w:trPr>
          <w:cantSplit/>
        </w:trPr>
        <w:tc>
          <w:tcPr>
            <w:tcW w:type="dxa" w:w="1800"/>
            <w:tcMar>
              <w:top w:w="80" w:type="dxa"/>
              <w:start w:w="120" w:type="dxa"/>
              <w:bottom w:w="80" w:type="dxa"/>
              <w:end w:w="120" w:type="dxa"/>
            </w:tcMar>
            <w:vAlign w:val="top"/>
          </w:tcPr>
          <w:p>
            <w:pPr>
              <w:spacing w:after="0"/>
            </w:pPr>
            <w:r>
              <w:rPr>
                <w:sz w:val="20"/>
              </w:rPr>
              <w:t>Safety and authority</w:t>
            </w:r>
          </w:p>
        </w:tc>
        <w:tc>
          <w:tcPr>
            <w:tcW w:type="dxa" w:w="792"/>
            <w:tcMar>
              <w:top w:w="80" w:type="dxa"/>
              <w:start w:w="120" w:type="dxa"/>
              <w:bottom w:w="80" w:type="dxa"/>
              <w:end w:w="120" w:type="dxa"/>
            </w:tcMar>
            <w:vAlign w:val="top"/>
          </w:tcPr>
          <w:p>
            <w:pPr>
              <w:spacing w:after="0"/>
            </w:pPr>
            <w:r>
              <w:rPr>
                <w:sz w:val="20"/>
              </w:rPr>
              <w:t>12%</w:t>
            </w:r>
          </w:p>
        </w:tc>
        <w:tc>
          <w:tcPr>
            <w:tcW w:type="dxa" w:w="2520"/>
            <w:tcMar>
              <w:top w:w="80" w:type="dxa"/>
              <w:start w:w="120" w:type="dxa"/>
              <w:bottom w:w="80" w:type="dxa"/>
              <w:end w:w="120" w:type="dxa"/>
            </w:tcMar>
            <w:vAlign w:val="top"/>
          </w:tcPr>
          <w:p>
            <w:pPr>
              <w:spacing w:after="0"/>
            </w:pPr>
            <w:r>
              <w:rPr>
                <w:sz w:val="20"/>
              </w:rPr>
              <w:t>Approvals, sandboxing, workspace controls, and command safety.</w:t>
            </w:r>
          </w:p>
        </w:tc>
        <w:tc>
          <w:tcPr>
            <w:tcW w:type="dxa" w:w="3240"/>
            <w:tcMar>
              <w:top w:w="80" w:type="dxa"/>
              <w:start w:w="120" w:type="dxa"/>
              <w:bottom w:w="80" w:type="dxa"/>
              <w:end w:w="120" w:type="dxa"/>
            </w:tcMar>
            <w:vAlign w:val="top"/>
          </w:tcPr>
          <w:p>
            <w:pPr>
              <w:spacing w:after="0"/>
            </w:pPr>
            <w:r>
              <w:rPr>
                <w:sz w:val="20"/>
              </w:rPr>
              <w:t>Rust path/patch/command gates are real; command policy is heuristic and not sandbox-grade.</w:t>
            </w:r>
          </w:p>
        </w:tc>
        <w:tc>
          <w:tcPr>
            <w:tcW w:type="dxa" w:w="1008"/>
            <w:tcMar>
              <w:top w:w="80" w:type="dxa"/>
              <w:start w:w="120" w:type="dxa"/>
              <w:bottom w:w="80" w:type="dxa"/>
              <w:end w:w="120" w:type="dxa"/>
            </w:tcMar>
            <w:vAlign w:val="top"/>
          </w:tcPr>
          <w:p>
            <w:pPr>
              <w:spacing w:after="0"/>
            </w:pPr>
            <w:r>
              <w:rPr>
                <w:sz w:val="20"/>
              </w:rPr>
              <w:t>64%</w:t>
            </w:r>
          </w:p>
        </w:tc>
      </w:tr>
      <w:tr>
        <w:trPr>
          <w:cantSplit/>
        </w:trPr>
        <w:tc>
          <w:tcPr>
            <w:tcW w:type="dxa" w:w="1800"/>
            <w:tcMar>
              <w:top w:w="80" w:type="dxa"/>
              <w:start w:w="120" w:type="dxa"/>
              <w:bottom w:w="80" w:type="dxa"/>
              <w:end w:w="120" w:type="dxa"/>
            </w:tcMar>
            <w:vAlign w:val="top"/>
          </w:tcPr>
          <w:p>
            <w:pPr>
              <w:spacing w:after="0"/>
            </w:pPr>
            <w:r>
              <w:rPr>
                <w:sz w:val="20"/>
              </w:rPr>
              <w:t>Memory and context</w:t>
            </w:r>
          </w:p>
        </w:tc>
        <w:tc>
          <w:tcPr>
            <w:tcW w:type="dxa" w:w="792"/>
            <w:tcMar>
              <w:top w:w="80" w:type="dxa"/>
              <w:start w:w="120" w:type="dxa"/>
              <w:bottom w:w="80" w:type="dxa"/>
              <w:end w:w="120" w:type="dxa"/>
            </w:tcMar>
            <w:vAlign w:val="top"/>
          </w:tcPr>
          <w:p>
            <w:pPr>
              <w:spacing w:after="0"/>
            </w:pPr>
            <w:r>
              <w:rPr>
                <w:sz w:val="20"/>
              </w:rPr>
              <w:t>10%</w:t>
            </w:r>
          </w:p>
        </w:tc>
        <w:tc>
          <w:tcPr>
            <w:tcW w:type="dxa" w:w="2520"/>
            <w:tcMar>
              <w:top w:w="80" w:type="dxa"/>
              <w:start w:w="120" w:type="dxa"/>
              <w:bottom w:w="80" w:type="dxa"/>
              <w:end w:w="120" w:type="dxa"/>
            </w:tcMar>
            <w:vAlign w:val="top"/>
          </w:tcPr>
          <w:p>
            <w:pPr>
              <w:spacing w:after="0"/>
            </w:pPr>
            <w:r>
              <w:rPr>
                <w:sz w:val="20"/>
              </w:rPr>
              <w:t>Durable repo context and instructions reduce repeated discovery.</w:t>
            </w:r>
          </w:p>
        </w:tc>
        <w:tc>
          <w:tcPr>
            <w:tcW w:type="dxa" w:w="3240"/>
            <w:tcMar>
              <w:top w:w="80" w:type="dxa"/>
              <w:start w:w="120" w:type="dxa"/>
              <w:bottom w:w="80" w:type="dxa"/>
              <w:end w:w="120" w:type="dxa"/>
            </w:tcMar>
            <w:vAlign w:val="top"/>
          </w:tcPr>
          <w:p>
            <w:pPr>
              <w:spacing w:after="0"/>
            </w:pPr>
            <w:r>
              <w:rPr>
                <w:sz w:val="20"/>
              </w:rPr>
              <w:t>SQLite memory is fresh and useful, but durable semantic understanding is not complete.</w:t>
            </w:r>
          </w:p>
        </w:tc>
        <w:tc>
          <w:tcPr>
            <w:tcW w:type="dxa" w:w="1008"/>
            <w:tcMar>
              <w:top w:w="80" w:type="dxa"/>
              <w:start w:w="120" w:type="dxa"/>
              <w:bottom w:w="80" w:type="dxa"/>
              <w:end w:w="120" w:type="dxa"/>
            </w:tcMar>
            <w:vAlign w:val="top"/>
          </w:tcPr>
          <w:p>
            <w:pPr>
              <w:spacing w:after="0"/>
            </w:pPr>
            <w:r>
              <w:rPr>
                <w:sz w:val="20"/>
              </w:rPr>
              <w:t>66%</w:t>
            </w:r>
          </w:p>
        </w:tc>
      </w:tr>
      <w:tr>
        <w:trPr>
          <w:cantSplit/>
        </w:trPr>
        <w:tc>
          <w:tcPr>
            <w:tcW w:type="dxa" w:w="1800"/>
            <w:tcMar>
              <w:top w:w="80" w:type="dxa"/>
              <w:start w:w="120" w:type="dxa"/>
              <w:bottom w:w="80" w:type="dxa"/>
              <w:end w:w="120" w:type="dxa"/>
            </w:tcMar>
            <w:vAlign w:val="top"/>
          </w:tcPr>
          <w:p>
            <w:pPr>
              <w:spacing w:after="0"/>
            </w:pPr>
            <w:r>
              <w:rPr>
                <w:sz w:val="20"/>
              </w:rPr>
              <w:t>Multi-agent parallelism</w:t>
            </w:r>
          </w:p>
        </w:tc>
        <w:tc>
          <w:tcPr>
            <w:tcW w:type="dxa" w:w="792"/>
            <w:tcMar>
              <w:top w:w="80" w:type="dxa"/>
              <w:start w:w="120" w:type="dxa"/>
              <w:bottom w:w="80" w:type="dxa"/>
              <w:end w:w="120" w:type="dxa"/>
            </w:tcMar>
            <w:vAlign w:val="top"/>
          </w:tcPr>
          <w:p>
            <w:pPr>
              <w:spacing w:after="0"/>
            </w:pPr>
            <w:r>
              <w:rPr>
                <w:sz w:val="20"/>
              </w:rPr>
              <w:t>8%</w:t>
            </w:r>
          </w:p>
        </w:tc>
        <w:tc>
          <w:tcPr>
            <w:tcW w:type="dxa" w:w="2520"/>
            <w:tcMar>
              <w:top w:w="80" w:type="dxa"/>
              <w:start w:w="120" w:type="dxa"/>
              <w:bottom w:w="80" w:type="dxa"/>
              <w:end w:w="120" w:type="dxa"/>
            </w:tcMar>
            <w:vAlign w:val="top"/>
          </w:tcPr>
          <w:p>
            <w:pPr>
              <w:spacing w:after="0"/>
            </w:pPr>
            <w:r>
              <w:rPr>
                <w:sz w:val="20"/>
              </w:rPr>
              <w:t>Subagents and parallel work for exploration/testing/review.</w:t>
            </w:r>
          </w:p>
        </w:tc>
        <w:tc>
          <w:tcPr>
            <w:tcW w:type="dxa" w:w="3240"/>
            <w:tcMar>
              <w:top w:w="80" w:type="dxa"/>
              <w:start w:w="120" w:type="dxa"/>
              <w:bottom w:w="80" w:type="dxa"/>
              <w:end w:w="120" w:type="dxa"/>
            </w:tcMar>
            <w:vAlign w:val="top"/>
          </w:tcPr>
          <w:p>
            <w:pPr>
              <w:spacing w:after="0"/>
            </w:pPr>
            <w:r>
              <w:rPr>
                <w:sz w:val="20"/>
              </w:rPr>
              <w:t>Swarm autopilot is architecturally rich, but provider-backed production paths and tests are not mature.</w:t>
            </w:r>
          </w:p>
        </w:tc>
        <w:tc>
          <w:tcPr>
            <w:tcW w:type="dxa" w:w="1008"/>
            <w:tcMar>
              <w:top w:w="80" w:type="dxa"/>
              <w:start w:w="120" w:type="dxa"/>
              <w:bottom w:w="80" w:type="dxa"/>
              <w:end w:w="120" w:type="dxa"/>
            </w:tcMar>
            <w:vAlign w:val="top"/>
          </w:tcPr>
          <w:p>
            <w:pPr>
              <w:spacing w:after="0"/>
            </w:pPr>
            <w:r>
              <w:rPr>
                <w:sz w:val="20"/>
              </w:rPr>
              <w:t>50%</w:t>
            </w:r>
          </w:p>
        </w:tc>
      </w:tr>
      <w:tr>
        <w:trPr>
          <w:cantSplit/>
        </w:trPr>
        <w:tc>
          <w:tcPr>
            <w:tcW w:type="dxa" w:w="1800"/>
            <w:tcMar>
              <w:top w:w="80" w:type="dxa"/>
              <w:start w:w="120" w:type="dxa"/>
              <w:bottom w:w="80" w:type="dxa"/>
              <w:end w:w="120" w:type="dxa"/>
            </w:tcMar>
            <w:vAlign w:val="top"/>
          </w:tcPr>
          <w:p>
            <w:pPr>
              <w:spacing w:after="0"/>
            </w:pPr>
            <w:r>
              <w:rPr>
                <w:sz w:val="20"/>
              </w:rPr>
              <w:t>Product UX surfaces</w:t>
            </w:r>
          </w:p>
        </w:tc>
        <w:tc>
          <w:tcPr>
            <w:tcW w:type="dxa" w:w="792"/>
            <w:tcMar>
              <w:top w:w="80" w:type="dxa"/>
              <w:start w:w="120" w:type="dxa"/>
              <w:bottom w:w="80" w:type="dxa"/>
              <w:end w:w="120" w:type="dxa"/>
            </w:tcMar>
            <w:vAlign w:val="top"/>
          </w:tcPr>
          <w:p>
            <w:pPr>
              <w:spacing w:after="0"/>
            </w:pPr>
            <w:r>
              <w:rPr>
                <w:sz w:val="20"/>
              </w:rPr>
              <w:t>10%</w:t>
            </w:r>
          </w:p>
        </w:tc>
        <w:tc>
          <w:tcPr>
            <w:tcW w:type="dxa" w:w="2520"/>
            <w:tcMar>
              <w:top w:w="80" w:type="dxa"/>
              <w:start w:w="120" w:type="dxa"/>
              <w:bottom w:w="80" w:type="dxa"/>
              <w:end w:w="120" w:type="dxa"/>
            </w:tcMar>
            <w:vAlign w:val="top"/>
          </w:tcPr>
          <w:p>
            <w:pPr>
              <w:spacing w:after="0"/>
            </w:pPr>
            <w:r>
              <w:rPr>
                <w:sz w:val="20"/>
              </w:rPr>
              <w:t>CLI, app, IDE, worktrees, cloud, clear approvals, Git workflows.</w:t>
            </w:r>
          </w:p>
        </w:tc>
        <w:tc>
          <w:tcPr>
            <w:tcW w:type="dxa" w:w="3240"/>
            <w:tcMar>
              <w:top w:w="80" w:type="dxa"/>
              <w:start w:w="120" w:type="dxa"/>
              <w:bottom w:w="80" w:type="dxa"/>
              <w:end w:w="120" w:type="dxa"/>
            </w:tcMar>
            <w:vAlign w:val="top"/>
          </w:tcPr>
          <w:p>
            <w:pPr>
              <w:spacing w:after="0"/>
            </w:pPr>
            <w:r>
              <w:rPr>
                <w:sz w:val="20"/>
              </w:rPr>
              <w:t>Desktop app exists with useful truth surfaces; no Codex-level CLI/IDE/cloud/worktree parity.</w:t>
            </w:r>
          </w:p>
        </w:tc>
        <w:tc>
          <w:tcPr>
            <w:tcW w:type="dxa" w:w="1008"/>
            <w:tcMar>
              <w:top w:w="80" w:type="dxa"/>
              <w:start w:w="120" w:type="dxa"/>
              <w:bottom w:w="80" w:type="dxa"/>
              <w:end w:w="120" w:type="dxa"/>
            </w:tcMar>
            <w:vAlign w:val="top"/>
          </w:tcPr>
          <w:p>
            <w:pPr>
              <w:spacing w:after="0"/>
            </w:pPr>
            <w:r>
              <w:rPr>
                <w:sz w:val="20"/>
              </w:rPr>
              <w:t>42%</w:t>
            </w:r>
          </w:p>
        </w:tc>
      </w:tr>
      <w:tr>
        <w:trPr>
          <w:cantSplit/>
        </w:trPr>
        <w:tc>
          <w:tcPr>
            <w:tcW w:type="dxa" w:w="1800"/>
            <w:tcMar>
              <w:top w:w="80" w:type="dxa"/>
              <w:start w:w="120" w:type="dxa"/>
              <w:bottom w:w="80" w:type="dxa"/>
              <w:end w:w="120" w:type="dxa"/>
            </w:tcMar>
            <w:vAlign w:val="top"/>
          </w:tcPr>
          <w:p>
            <w:pPr>
              <w:spacing w:after="0"/>
            </w:pPr>
            <w:r>
              <w:rPr>
                <w:sz w:val="20"/>
              </w:rPr>
              <w:t>Integrations and extensibility</w:t>
            </w:r>
          </w:p>
        </w:tc>
        <w:tc>
          <w:tcPr>
            <w:tcW w:type="dxa" w:w="792"/>
            <w:tcMar>
              <w:top w:w="80" w:type="dxa"/>
              <w:start w:w="120" w:type="dxa"/>
              <w:bottom w:w="80" w:type="dxa"/>
              <w:end w:w="120" w:type="dxa"/>
            </w:tcMar>
            <w:vAlign w:val="top"/>
          </w:tcPr>
          <w:p>
            <w:pPr>
              <w:spacing w:after="0"/>
            </w:pPr>
            <w:r>
              <w:rPr>
                <w:sz w:val="20"/>
              </w:rPr>
              <w:t>8%</w:t>
            </w:r>
          </w:p>
        </w:tc>
        <w:tc>
          <w:tcPr>
            <w:tcW w:type="dxa" w:w="2520"/>
            <w:tcMar>
              <w:top w:w="80" w:type="dxa"/>
              <w:start w:w="120" w:type="dxa"/>
              <w:bottom w:w="80" w:type="dxa"/>
              <w:end w:w="120" w:type="dxa"/>
            </w:tcMar>
            <w:vAlign w:val="top"/>
          </w:tcPr>
          <w:p>
            <w:pPr>
              <w:spacing w:after="0"/>
            </w:pPr>
            <w:r>
              <w:rPr>
                <w:sz w:val="20"/>
              </w:rPr>
              <w:t>AGENTS.md, MCP, skills, plugins, automations, external connectors.</w:t>
            </w:r>
          </w:p>
        </w:tc>
        <w:tc>
          <w:tcPr>
            <w:tcW w:type="dxa" w:w="3240"/>
            <w:tcMar>
              <w:top w:w="80" w:type="dxa"/>
              <w:start w:w="120" w:type="dxa"/>
              <w:bottom w:w="80" w:type="dxa"/>
              <w:end w:w="120" w:type="dxa"/>
            </w:tcMar>
            <w:vAlign w:val="top"/>
          </w:tcPr>
          <w:p>
            <w:pPr>
              <w:spacing w:after="0"/>
            </w:pPr>
            <w:r>
              <w:rPr>
                <w:sz w:val="20"/>
              </w:rPr>
              <w:t>AGENTS-style guidance exists; MCP/skills/plugins/automations are mostly absent as product features.</w:t>
            </w:r>
          </w:p>
        </w:tc>
        <w:tc>
          <w:tcPr>
            <w:tcW w:type="dxa" w:w="1008"/>
            <w:tcMar>
              <w:top w:w="80" w:type="dxa"/>
              <w:start w:w="120" w:type="dxa"/>
              <w:bottom w:w="80" w:type="dxa"/>
              <w:end w:w="120" w:type="dxa"/>
            </w:tcMar>
            <w:vAlign w:val="top"/>
          </w:tcPr>
          <w:p>
            <w:pPr>
              <w:spacing w:after="0"/>
            </w:pPr>
            <w:r>
              <w:rPr>
                <w:sz w:val="20"/>
              </w:rPr>
              <w:t>28%</w:t>
            </w:r>
          </w:p>
        </w:tc>
      </w:tr>
      <w:tr>
        <w:trPr>
          <w:cantSplit/>
        </w:trPr>
        <w:tc>
          <w:tcPr>
            <w:tcW w:type="dxa" w:w="1800"/>
            <w:tcMar>
              <w:top w:w="80" w:type="dxa"/>
              <w:start w:w="120" w:type="dxa"/>
              <w:bottom w:w="80" w:type="dxa"/>
              <w:end w:w="120" w:type="dxa"/>
            </w:tcMar>
            <w:vAlign w:val="top"/>
          </w:tcPr>
          <w:p>
            <w:pPr>
              <w:spacing w:after="0"/>
            </w:pPr>
            <w:r>
              <w:rPr>
                <w:sz w:val="20"/>
              </w:rPr>
              <w:t>Reliability and release readiness</w:t>
            </w:r>
          </w:p>
        </w:tc>
        <w:tc>
          <w:tcPr>
            <w:tcW w:type="dxa" w:w="792"/>
            <w:tcMar>
              <w:top w:w="80" w:type="dxa"/>
              <w:start w:w="120" w:type="dxa"/>
              <w:bottom w:w="80" w:type="dxa"/>
              <w:end w:w="120" w:type="dxa"/>
            </w:tcMar>
            <w:vAlign w:val="top"/>
          </w:tcPr>
          <w:p>
            <w:pPr>
              <w:spacing w:after="0"/>
            </w:pPr>
            <w:r>
              <w:rPr>
                <w:sz w:val="20"/>
              </w:rPr>
              <w:t>10%</w:t>
            </w:r>
          </w:p>
        </w:tc>
        <w:tc>
          <w:tcPr>
            <w:tcW w:type="dxa" w:w="2520"/>
            <w:tcMar>
              <w:top w:w="80" w:type="dxa"/>
              <w:start w:w="120" w:type="dxa"/>
              <w:bottom w:w="80" w:type="dxa"/>
              <w:end w:w="120" w:type="dxa"/>
            </w:tcMar>
            <w:vAlign w:val="top"/>
          </w:tcPr>
          <w:p>
            <w:pPr>
              <w:spacing w:after="0"/>
            </w:pPr>
            <w:r>
              <w:rPr>
                <w:sz w:val="20"/>
              </w:rPr>
              <w:t>Green tests, stable lifecycle, replay, supportable failure modes.</w:t>
            </w:r>
          </w:p>
        </w:tc>
        <w:tc>
          <w:tcPr>
            <w:tcW w:type="dxa" w:w="3240"/>
            <w:tcMar>
              <w:top w:w="80" w:type="dxa"/>
              <w:start w:w="120" w:type="dxa"/>
              <w:bottom w:w="80" w:type="dxa"/>
              <w:end w:w="120" w:type="dxa"/>
            </w:tcMar>
            <w:vAlign w:val="top"/>
          </w:tcPr>
          <w:p>
            <w:pPr>
              <w:spacing w:after="0"/>
            </w:pPr>
            <w:r>
              <w:rPr>
                <w:sz w:val="20"/>
              </w:rPr>
              <w:t>Typecheck, Rust, and ReasoningKernel pass; full runtime suite currently fails 156 tests.</w:t>
            </w:r>
          </w:p>
        </w:tc>
        <w:tc>
          <w:tcPr>
            <w:tcW w:type="dxa" w:w="1008"/>
            <w:tcMar>
              <w:top w:w="80" w:type="dxa"/>
              <w:start w:w="120" w:type="dxa"/>
              <w:bottom w:w="80" w:type="dxa"/>
              <w:end w:w="120" w:type="dxa"/>
            </w:tcMar>
            <w:vAlign w:val="top"/>
          </w:tcPr>
          <w:p>
            <w:pPr>
              <w:spacing w:after="0"/>
            </w:pPr>
            <w:r>
              <w:rPr>
                <w:sz w:val="20"/>
              </w:rPr>
              <w:t>45%</w:t>
            </w:r>
          </w:p>
        </w:tc>
      </w:tr>
    </w:tbl>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40"/>
            </w:pPr>
            <w:r>
              <w:rPr>
                <w:b/>
                <w:color w:val="0B2545"/>
              </w:rPr>
              <w:t>Score formula</w:t>
            </w:r>
          </w:p>
          <w:p>
            <w:pPr>
              <w:spacing w:after="0"/>
            </w:pPr>
            <w:r>
              <w:t>Weighted score from the table is about 55%. This should be treated as a maturity estimate, not a scientific benchmark. Hivo should not claim an 80% reasoning guarantee until the exact router/author/verifier/embedding profile has a passing gate-specific certification record from the sealed adaptive-reasoning eval process.</w:t>
            </w:r>
          </w:p>
        </w:tc>
      </w:tr>
    </w:tbl>
    <w:p/>
    <w:p>
      <w:pPr>
        <w:pStyle w:val="Heading1"/>
      </w:pPr>
      <w:r>
        <w:t>Codex: Pros And Cons</w:t>
      </w:r>
    </w:p>
    <w:p>
      <w:pPr>
        <w:pStyle w:val="Heading2"/>
      </w:pPr>
      <w:r>
        <w:t>Pros</w:t>
      </w:r>
    </w:p>
    <w:p>
      <w:pPr>
        <w:pStyle w:val="ListBullet"/>
      </w:pPr>
      <w:r>
        <w:t>Mature coding-agent product surface: Codex can write code, understand unfamiliar codebases, review code, debug failures, and automate development tasks.</w:t>
      </w:r>
    </w:p>
    <w:p>
      <w:pPr>
        <w:pStyle w:val="ListBullet"/>
      </w:pPr>
      <w:r>
        <w:t>Multiple operating surfaces: official docs describe CLI, IDE extension, app, and cloud-oriented workflows, which helps users choose the right surface for local, editor-attached, parallel, or hosted work.</w:t>
      </w:r>
    </w:p>
    <w:p>
      <w:pPr>
        <w:pStyle w:val="ListBullet"/>
      </w:pPr>
      <w:r>
        <w:t>Good context discipline: Codex supports durable project guidance through AGENTS.md, plus task context, prompts, skills, MCP, plugins, and automations.</w:t>
      </w:r>
    </w:p>
    <w:p>
      <w:pPr>
        <w:pStyle w:val="ListBullet"/>
      </w:pPr>
      <w:r>
        <w:t>Operator workflow: Codex emphasizes planning, approvals, sandboxing, command execution, diff review, and validation instead of treating model output as automatically trusted.</w:t>
      </w:r>
    </w:p>
    <w:p>
      <w:pPr>
        <w:pStyle w:val="ListBullet"/>
      </w:pPr>
      <w:r>
        <w:t>Extensibility: skills, plugins, app connectors, MCP servers, and subagents give Codex a growing ecosystem instead of a single hardcoded agent loop.</w:t>
      </w:r>
    </w:p>
    <w:p>
      <w:pPr>
        <w:pStyle w:val="ListBullet"/>
      </w:pPr>
      <w:r>
        <w:t>Parallelism and isolation: worktrees, cloud/local modes, and subagents let Codex split exploration or implementation without overloading the main thread.</w:t>
      </w:r>
    </w:p>
    <w:p>
      <w:pPr>
        <w:pStyle w:val="ListBullet"/>
      </w:pPr>
      <w:r>
        <w:t>Product polish: Codex has a clearer user-facing lifecycle, documentation, and integration story than a project still stabilizing its own contracts.</w:t>
      </w:r>
    </w:p>
    <w:p>
      <w:pPr>
        <w:pStyle w:val="Heading2"/>
      </w:pPr>
      <w:r>
        <w:t>Cons</w:t>
      </w:r>
    </w:p>
    <w:p>
      <w:pPr>
        <w:pStyle w:val="ListBullet"/>
      </w:pPr>
      <w:r>
        <w:t>Closed product behavior: users can configure Codex, but cannot deeply rewrite its internal scheduler, reasoning kernel, or product roadmap.</w:t>
      </w:r>
    </w:p>
    <w:p>
      <w:pPr>
        <w:pStyle w:val="ListBullet"/>
      </w:pPr>
      <w:r>
        <w:t>Account, plan, and rollout dependency: access and capabilities may depend on plan, workspace policy, platform, or current product rollout.</w:t>
      </w:r>
    </w:p>
    <w:p>
      <w:pPr>
        <w:pStyle w:val="ListBullet"/>
      </w:pPr>
      <w:r>
        <w:t>Less suitable as a white-label orchestration platform: Codex is a coding-agent product, while Hivo is trying to become a customizable multi-agent factory.</w:t>
      </w:r>
    </w:p>
    <w:p>
      <w:pPr>
        <w:pStyle w:val="ListBullet"/>
      </w:pPr>
      <w:r>
        <w:t>Cloud or connector usage can introduce governance questions for teams with strict data residency or self-hosting requirements.</w:t>
      </w:r>
    </w:p>
    <w:p>
      <w:pPr>
        <w:pStyle w:val="ListBullet"/>
      </w:pPr>
      <w:r>
        <w:t>Deep customization requires learning several surfaces: AGENTS.md, config.toml, skills, plugins, MCP, hooks, and automations can be powerful but complex.</w:t>
      </w:r>
    </w:p>
    <w:p>
      <w:pPr>
        <w:pStyle w:val="ListBullet"/>
      </w:pPr>
      <w:r>
        <w:t>Provider choice is not the same as Hivo's configurable provider layer. Hivo can be designed around local or OpenAI-compatible providers if that remains a product priority.</w:t>
      </w:r>
    </w:p>
    <w:p>
      <w:pPr>
        <w:pStyle w:val="Heading1"/>
      </w:pPr>
      <w:r>
        <w:t>Where Hivo Is Strong</w:t>
      </w:r>
    </w:p>
    <w:p>
      <w:pPr>
        <w:pStyle w:val="ListBullet"/>
      </w:pPr>
      <w:r>
        <w:t>Architecture is aligned with a serious coding-agent direction: the README describes a Tauri desktop, TypeScript runtime, SQLite memory, adaptive provider reasoning, swarm planning, approval gates, and Rust-owned patch/command authority.</w:t>
      </w:r>
    </w:p>
    <w:p>
      <w:pPr>
        <w:pStyle w:val="ListBullet"/>
      </w:pPr>
      <w:r>
        <w:t>ReasoningKernel v2 is the best current parity asset. It requires provider-authored understanding, tool rounds, verification, repair, explicit budgets, and no local assistant message on operational provider failure.</w:t>
      </w:r>
    </w:p>
    <w:p>
      <w:pPr>
        <w:pStyle w:val="ListBullet"/>
      </w:pPr>
      <w:r>
        <w:t>The Rust authority layer is credible. Tests passed for workspace guards, command policy, patch preflight, Rust git snapshots, and SQLite runtime event projections.</w:t>
      </w:r>
    </w:p>
    <w:p>
      <w:pPr>
        <w:pStyle w:val="ListBullet"/>
      </w:pPr>
      <w:r>
        <w:t>SQLite memory is real and fresh. Memory status reports repo index, manifest, symbol index, file summaries, command inventory, project glossary, project intelligence, task history, run artifacts, campaign artifacts, and eval artifacts.</w:t>
      </w:r>
    </w:p>
    <w:p>
      <w:pPr>
        <w:pStyle w:val="ListBullet"/>
      </w:pPr>
      <w:r>
        <w:t>The project is unusually honest about not claiming certification. It explicitly separates read_reasoning and action_reasoning and refuses an 80% guarantee without sealed holdout records.</w:t>
      </w:r>
    </w:p>
    <w:p>
      <w:pPr>
        <w:pStyle w:val="ListBullet"/>
      </w:pPr>
      <w:r>
        <w:t>Swarm autopilot has detailed architecture for automatic staffing, executor caps, read-only ratios, scheduler traces, trial labs, and 300 logical-agent stress scenarios.</w:t>
      </w:r>
    </w:p>
    <w:p>
      <w:pPr>
        <w:pStyle w:val="ListBullet"/>
      </w:pPr>
      <w:r>
        <w:t>The desktop UI already exposes provider telemetry, final response source, certification gates, evidence count, information gain, verifier verdict, restore truth, and patch state. That is stronger than a simple chat UI.</w:t>
      </w:r>
    </w:p>
    <w:p>
      <w:pPr>
        <w:pStyle w:val="Heading1"/>
      </w:pPr>
      <w:r>
        <w:t>Where Hivo Is Weak Against Codex</w:t>
      </w:r>
    </w:p>
    <w:p>
      <w:pPr>
        <w:pStyle w:val="ListBullet"/>
      </w:pPr>
      <w:r>
        <w:t>The full runtime test suite is failing. A product cannot be called Codex-level while its broad runtime validation is red.</w:t>
      </w:r>
    </w:p>
    <w:p>
      <w:pPr>
        <w:pStyle w:val="ListBullet"/>
      </w:pPr>
      <w:r>
        <w:t>Provider-unavailable paths still create many failures. The system is now honest about provider failure, but it needs stronger recovery, test fixtures, and user-facing remediation.</w:t>
      </w:r>
    </w:p>
    <w:p>
      <w:pPr>
        <w:pStyle w:val="ListBullet"/>
      </w:pPr>
      <w:r>
        <w:t>Mock/demo migration is incomplete. Production now forbids demo/mock sessions, but older tests and docs still expect mock behavior.</w:t>
      </w:r>
    </w:p>
    <w:p>
      <w:pPr>
        <w:pStyle w:val="ListBullet"/>
      </w:pPr>
      <w:r>
        <w:t>End-to-end lifecycle authority is split. Rust applies patches, the frontend reports results, and the runtime reconciles state. This is better than direct model writes, but still not a single durable source of truth.</w:t>
      </w:r>
    </w:p>
    <w:p>
      <w:pPr>
        <w:pStyle w:val="ListBullet"/>
      </w:pPr>
      <w:r>
        <w:t>Session replay is improving but still not uniformly event-authoritative. Snapshot restore remains a fallback and should not be marketed as full replay.</w:t>
      </w:r>
    </w:p>
    <w:p>
      <w:pPr>
        <w:pStyle w:val="ListBullet"/>
      </w:pPr>
      <w:r>
        <w:t>Command policy is heuristic. Rust classifies and blocks obvious risks, but this is not equivalent to sandbox-grade containment or a full process supervisor.</w:t>
      </w:r>
    </w:p>
    <w:p>
      <w:pPr>
        <w:pStyle w:val="ListBullet"/>
      </w:pPr>
      <w:r>
        <w:t>Codex extension parity is missing. Hivo does not yet have mature equivalents for skills, plugins, MCP, automations, cloud mode, worktree mode, IDE extension, or external app connectors.</w:t>
      </w:r>
    </w:p>
    <w:p>
      <w:pPr>
        <w:pStyle w:val="ListBullet"/>
      </w:pPr>
      <w:r>
        <w:t>Frontend testing and end-to-end workflow tests are much thinner than runtime tests.</w:t>
      </w:r>
    </w:p>
    <w:p>
      <w:pPr>
        <w:pStyle w:val="ListBullet"/>
      </w:pPr>
      <w:r>
        <w:t>The UI needs a more sober operator-console treatment. Decorative typography and access labels like Full Access can overstate trust if backend guarantees are not exact.</w:t>
      </w:r>
    </w:p>
    <w:p>
      <w:pPr>
        <w:pStyle w:val="Heading1"/>
      </w:pPr>
      <w:r>
        <w:t>Codex Feature Gap Matrix</w:t>
      </w:r>
    </w:p>
    <w:tbl>
      <w:tblPr>
        <w:tblStyle w:val="TableGrid"/>
        <w:tblW w:type="dxa" w:w="9360"/>
        <w:jc w:val="center"/>
        <w:tblLayout w:type="fixed"/>
        <w:tblLook w:firstColumn="1" w:firstRow="1" w:lastColumn="0" w:lastRow="0" w:noHBand="0" w:noVBand="1" w:val="04A0"/>
      </w:tblPr>
      <w:tblGrid>
        <w:gridCol w:w="2520"/>
        <w:gridCol w:w="1872"/>
        <w:gridCol w:w="4968"/>
      </w:tblGrid>
      <w:tr>
        <w:trPr>
          <w:tblHeader w:val="true"/>
          <w:cantSplit/>
        </w:trPr>
        <w:tc>
          <w:tcPr>
            <w:tcW w:type="dxa" w:w="2520"/>
            <w:vAlign w:val="top"/>
            <w:tcMar>
              <w:top w:w="80" w:type="dxa"/>
              <w:start w:w="120" w:type="dxa"/>
              <w:bottom w:w="80" w:type="dxa"/>
              <w:end w:w="120" w:type="dxa"/>
            </w:tcMar>
            <w:shd w:fill="E8EEF5"/>
          </w:tcPr>
          <w:p>
            <w:pPr>
              <w:spacing w:after="0"/>
            </w:pPr>
            <w:r>
              <w:rPr>
                <w:b/>
                <w:color w:val="0B2545"/>
                <w:sz w:val="20"/>
              </w:rPr>
              <w:t>Codex capability</w:t>
            </w:r>
          </w:p>
        </w:tc>
        <w:tc>
          <w:tcPr>
            <w:tcW w:type="dxa" w:w="1872"/>
            <w:vAlign w:val="top"/>
            <w:tcMar>
              <w:top w:w="80" w:type="dxa"/>
              <w:start w:w="120" w:type="dxa"/>
              <w:bottom w:w="80" w:type="dxa"/>
              <w:end w:w="120" w:type="dxa"/>
            </w:tcMar>
            <w:shd w:fill="E8EEF5"/>
          </w:tcPr>
          <w:p>
            <w:pPr>
              <w:spacing w:after="0"/>
            </w:pPr>
            <w:r>
              <w:rPr>
                <w:b/>
                <w:color w:val="0B2545"/>
                <w:sz w:val="20"/>
              </w:rPr>
              <w:t>Hivo status</w:t>
            </w:r>
          </w:p>
        </w:tc>
        <w:tc>
          <w:tcPr>
            <w:tcW w:type="dxa" w:w="4968"/>
            <w:vAlign w:val="top"/>
            <w:tcMar>
              <w:top w:w="80" w:type="dxa"/>
              <w:start w:w="120" w:type="dxa"/>
              <w:bottom w:w="80" w:type="dxa"/>
              <w:end w:w="120" w:type="dxa"/>
            </w:tcMar>
            <w:shd w:fill="E8EEF5"/>
          </w:tcPr>
          <w:p>
            <w:pPr>
              <w:spacing w:after="0"/>
            </w:pPr>
            <w:r>
              <w:rPr>
                <w:b/>
                <w:color w:val="0B2545"/>
                <w:sz w:val="20"/>
              </w:rPr>
              <w:t>Gap</w:t>
            </w:r>
          </w:p>
        </w:tc>
      </w:tr>
      <w:tr>
        <w:trPr>
          <w:cantSplit/>
        </w:trPr>
        <w:tc>
          <w:tcPr>
            <w:tcW w:type="dxa" w:w="2520"/>
            <w:tcMar>
              <w:top w:w="80" w:type="dxa"/>
              <w:start w:w="120" w:type="dxa"/>
              <w:bottom w:w="80" w:type="dxa"/>
              <w:end w:w="120" w:type="dxa"/>
            </w:tcMar>
            <w:vAlign w:val="top"/>
          </w:tcPr>
          <w:p>
            <w:pPr>
              <w:spacing w:after="0"/>
            </w:pPr>
            <w:r>
              <w:rPr>
                <w:sz w:val="20"/>
              </w:rPr>
              <w:t>Write, understand, review, debug, automate</w:t>
            </w:r>
          </w:p>
        </w:tc>
        <w:tc>
          <w:tcPr>
            <w:tcW w:type="dxa" w:w="1872"/>
            <w:tcMar>
              <w:top w:w="80" w:type="dxa"/>
              <w:start w:w="120" w:type="dxa"/>
              <w:bottom w:w="80" w:type="dxa"/>
              <w:end w:w="120" w:type="dxa"/>
            </w:tcMar>
            <w:vAlign w:val="top"/>
          </w:tcPr>
          <w:p>
            <w:pPr>
              <w:spacing w:after="0"/>
            </w:pPr>
            <w:r>
              <w:rPr>
                <w:sz w:val="20"/>
              </w:rPr>
              <w:t>Partial</w:t>
            </w:r>
          </w:p>
        </w:tc>
        <w:tc>
          <w:tcPr>
            <w:tcW w:type="dxa" w:w="4968"/>
            <w:tcMar>
              <w:top w:w="80" w:type="dxa"/>
              <w:start w:w="120" w:type="dxa"/>
              <w:bottom w:w="80" w:type="dxa"/>
              <w:end w:w="120" w:type="dxa"/>
            </w:tcMar>
            <w:vAlign w:val="top"/>
          </w:tcPr>
          <w:p>
            <w:pPr>
              <w:spacing w:after="0"/>
            </w:pPr>
            <w:r>
              <w:rPr>
                <w:sz w:val="20"/>
              </w:rPr>
              <w:t>Core mechanics exist, but broad runtime tests fail and deep understanding is not fully general.</w:t>
            </w:r>
          </w:p>
        </w:tc>
      </w:tr>
      <w:tr>
        <w:trPr>
          <w:cantSplit/>
        </w:trPr>
        <w:tc>
          <w:tcPr>
            <w:tcW w:type="dxa" w:w="2520"/>
            <w:tcMar>
              <w:top w:w="80" w:type="dxa"/>
              <w:start w:w="120" w:type="dxa"/>
              <w:bottom w:w="80" w:type="dxa"/>
              <w:end w:w="120" w:type="dxa"/>
            </w:tcMar>
            <w:vAlign w:val="top"/>
          </w:tcPr>
          <w:p>
            <w:pPr>
              <w:spacing w:after="0"/>
            </w:pPr>
            <w:r>
              <w:rPr>
                <w:sz w:val="20"/>
              </w:rPr>
              <w:t>AGENTS.md durable guidance</w:t>
            </w:r>
          </w:p>
        </w:tc>
        <w:tc>
          <w:tcPr>
            <w:tcW w:type="dxa" w:w="1872"/>
            <w:tcMar>
              <w:top w:w="80" w:type="dxa"/>
              <w:start w:w="120" w:type="dxa"/>
              <w:bottom w:w="80" w:type="dxa"/>
              <w:end w:w="120" w:type="dxa"/>
            </w:tcMar>
            <w:vAlign w:val="top"/>
          </w:tcPr>
          <w:p>
            <w:pPr>
              <w:spacing w:after="0"/>
            </w:pPr>
            <w:r>
              <w:rPr>
                <w:sz w:val="20"/>
              </w:rPr>
              <w:t>Strong</w:t>
            </w:r>
          </w:p>
        </w:tc>
        <w:tc>
          <w:tcPr>
            <w:tcW w:type="dxa" w:w="4968"/>
            <w:tcMar>
              <w:top w:w="80" w:type="dxa"/>
              <w:start w:w="120" w:type="dxa"/>
              <w:bottom w:w="80" w:type="dxa"/>
              <w:end w:w="120" w:type="dxa"/>
            </w:tcMar>
            <w:vAlign w:val="top"/>
          </w:tcPr>
          <w:p>
            <w:pPr>
              <w:spacing w:after="0"/>
            </w:pPr>
            <w:r>
              <w:rPr>
                <w:sz w:val="20"/>
              </w:rPr>
              <w:t>Repo has AGENTS guidance and follows it; needs productized discovery/override UX if Hivo becomes a user tool.</w:t>
            </w:r>
          </w:p>
        </w:tc>
      </w:tr>
      <w:tr>
        <w:trPr>
          <w:cantSplit/>
        </w:trPr>
        <w:tc>
          <w:tcPr>
            <w:tcW w:type="dxa" w:w="2520"/>
            <w:tcMar>
              <w:top w:w="80" w:type="dxa"/>
              <w:start w:w="120" w:type="dxa"/>
              <w:bottom w:w="80" w:type="dxa"/>
              <w:end w:w="120" w:type="dxa"/>
            </w:tcMar>
            <w:vAlign w:val="top"/>
          </w:tcPr>
          <w:p>
            <w:pPr>
              <w:spacing w:after="0"/>
            </w:pPr>
            <w:r>
              <w:rPr>
                <w:sz w:val="20"/>
              </w:rPr>
              <w:t>CLI workflow</w:t>
            </w:r>
          </w:p>
        </w:tc>
        <w:tc>
          <w:tcPr>
            <w:tcW w:type="dxa" w:w="1872"/>
            <w:tcMar>
              <w:top w:w="80" w:type="dxa"/>
              <w:start w:w="120" w:type="dxa"/>
              <w:bottom w:w="80" w:type="dxa"/>
              <w:end w:w="120" w:type="dxa"/>
            </w:tcMar>
            <w:vAlign w:val="top"/>
          </w:tcPr>
          <w:p>
            <w:pPr>
              <w:spacing w:after="0"/>
            </w:pPr>
            <w:r>
              <w:rPr>
                <w:sz w:val="20"/>
              </w:rPr>
              <w:t>Partial</w:t>
            </w:r>
          </w:p>
        </w:tc>
        <w:tc>
          <w:tcPr>
            <w:tcW w:type="dxa" w:w="4968"/>
            <w:tcMar>
              <w:top w:w="80" w:type="dxa"/>
              <w:start w:w="120" w:type="dxa"/>
              <w:bottom w:w="80" w:type="dxa"/>
              <w:end w:w="120" w:type="dxa"/>
            </w:tcMar>
            <w:vAlign w:val="top"/>
          </w:tcPr>
          <w:p>
            <w:pPr>
              <w:spacing w:after="0"/>
            </w:pPr>
            <w:r>
              <w:rPr>
                <w:sz w:val="20"/>
              </w:rPr>
              <w:t>Many npm CLIs exist, but no polished Codex-like terminal UI.</w:t>
            </w:r>
          </w:p>
        </w:tc>
      </w:tr>
      <w:tr>
        <w:trPr>
          <w:cantSplit/>
        </w:trPr>
        <w:tc>
          <w:tcPr>
            <w:tcW w:type="dxa" w:w="2520"/>
            <w:tcMar>
              <w:top w:w="80" w:type="dxa"/>
              <w:start w:w="120" w:type="dxa"/>
              <w:bottom w:w="80" w:type="dxa"/>
              <w:end w:w="120" w:type="dxa"/>
            </w:tcMar>
            <w:vAlign w:val="top"/>
          </w:tcPr>
          <w:p>
            <w:pPr>
              <w:spacing w:after="0"/>
            </w:pPr>
            <w:r>
              <w:rPr>
                <w:sz w:val="20"/>
              </w:rPr>
              <w:t>Desktop app</w:t>
            </w:r>
          </w:p>
        </w:tc>
        <w:tc>
          <w:tcPr>
            <w:tcW w:type="dxa" w:w="1872"/>
            <w:tcMar>
              <w:top w:w="80" w:type="dxa"/>
              <w:start w:w="120" w:type="dxa"/>
              <w:bottom w:w="80" w:type="dxa"/>
              <w:end w:w="120" w:type="dxa"/>
            </w:tcMar>
            <w:vAlign w:val="top"/>
          </w:tcPr>
          <w:p>
            <w:pPr>
              <w:spacing w:after="0"/>
            </w:pPr>
            <w:r>
              <w:rPr>
                <w:sz w:val="20"/>
              </w:rPr>
              <w:t>Partial</w:t>
            </w:r>
          </w:p>
        </w:tc>
        <w:tc>
          <w:tcPr>
            <w:tcW w:type="dxa" w:w="4968"/>
            <w:tcMar>
              <w:top w:w="80" w:type="dxa"/>
              <w:start w:w="120" w:type="dxa"/>
              <w:bottom w:w="80" w:type="dxa"/>
              <w:end w:w="120" w:type="dxa"/>
            </w:tcMar>
            <w:vAlign w:val="top"/>
          </w:tcPr>
          <w:p>
            <w:pPr>
              <w:spacing w:after="0"/>
            </w:pPr>
            <w:r>
              <w:rPr>
                <w:sz w:val="20"/>
              </w:rPr>
              <w:t>Tauri operator console exists, but UI reliability and state clarity need work.</w:t>
            </w:r>
          </w:p>
        </w:tc>
      </w:tr>
      <w:tr>
        <w:trPr>
          <w:cantSplit/>
        </w:trPr>
        <w:tc>
          <w:tcPr>
            <w:tcW w:type="dxa" w:w="2520"/>
            <w:tcMar>
              <w:top w:w="80" w:type="dxa"/>
              <w:start w:w="120" w:type="dxa"/>
              <w:bottom w:w="80" w:type="dxa"/>
              <w:end w:w="120" w:type="dxa"/>
            </w:tcMar>
            <w:vAlign w:val="top"/>
          </w:tcPr>
          <w:p>
            <w:pPr>
              <w:spacing w:after="0"/>
            </w:pPr>
            <w:r>
              <w:rPr>
                <w:sz w:val="20"/>
              </w:rPr>
              <w:t>IDE extension</w:t>
            </w:r>
          </w:p>
        </w:tc>
        <w:tc>
          <w:tcPr>
            <w:tcW w:type="dxa" w:w="1872"/>
            <w:tcMar>
              <w:top w:w="80" w:type="dxa"/>
              <w:start w:w="120" w:type="dxa"/>
              <w:bottom w:w="80" w:type="dxa"/>
              <w:end w:w="120" w:type="dxa"/>
            </w:tcMar>
            <w:vAlign w:val="top"/>
          </w:tcPr>
          <w:p>
            <w:pPr>
              <w:spacing w:after="0"/>
            </w:pPr>
            <w:r>
              <w:rPr>
                <w:sz w:val="20"/>
              </w:rPr>
              <w:t>Missing</w:t>
            </w:r>
          </w:p>
        </w:tc>
        <w:tc>
          <w:tcPr>
            <w:tcW w:type="dxa" w:w="4968"/>
            <w:tcMar>
              <w:top w:w="80" w:type="dxa"/>
              <w:start w:w="120" w:type="dxa"/>
              <w:bottom w:w="80" w:type="dxa"/>
              <w:end w:w="120" w:type="dxa"/>
            </w:tcMar>
            <w:vAlign w:val="top"/>
          </w:tcPr>
          <w:p>
            <w:pPr>
              <w:spacing w:after="0"/>
            </w:pPr>
            <w:r>
              <w:rPr>
                <w:sz w:val="20"/>
              </w:rPr>
              <w:t>No comparable editor-attached workflow.</w:t>
            </w:r>
          </w:p>
        </w:tc>
      </w:tr>
      <w:tr>
        <w:trPr>
          <w:cantSplit/>
        </w:trPr>
        <w:tc>
          <w:tcPr>
            <w:tcW w:type="dxa" w:w="2520"/>
            <w:tcMar>
              <w:top w:w="80" w:type="dxa"/>
              <w:start w:w="120" w:type="dxa"/>
              <w:bottom w:w="80" w:type="dxa"/>
              <w:end w:w="120" w:type="dxa"/>
            </w:tcMar>
            <w:vAlign w:val="top"/>
          </w:tcPr>
          <w:p>
            <w:pPr>
              <w:spacing w:after="0"/>
            </w:pPr>
            <w:r>
              <w:rPr>
                <w:sz w:val="20"/>
              </w:rPr>
              <w:t>Worktrees</w:t>
            </w:r>
          </w:p>
        </w:tc>
        <w:tc>
          <w:tcPr>
            <w:tcW w:type="dxa" w:w="1872"/>
            <w:tcMar>
              <w:top w:w="80" w:type="dxa"/>
              <w:start w:w="120" w:type="dxa"/>
              <w:bottom w:w="80" w:type="dxa"/>
              <w:end w:w="120" w:type="dxa"/>
            </w:tcMar>
            <w:vAlign w:val="top"/>
          </w:tcPr>
          <w:p>
            <w:pPr>
              <w:spacing w:after="0"/>
            </w:pPr>
            <w:r>
              <w:rPr>
                <w:sz w:val="20"/>
              </w:rPr>
              <w:t>Missing or minimal</w:t>
            </w:r>
          </w:p>
        </w:tc>
        <w:tc>
          <w:tcPr>
            <w:tcW w:type="dxa" w:w="4968"/>
            <w:tcMar>
              <w:top w:w="80" w:type="dxa"/>
              <w:start w:w="120" w:type="dxa"/>
              <w:bottom w:w="80" w:type="dxa"/>
              <w:end w:w="120" w:type="dxa"/>
            </w:tcMar>
            <w:vAlign w:val="top"/>
          </w:tcPr>
          <w:p>
            <w:pPr>
              <w:spacing w:after="0"/>
            </w:pPr>
            <w:r>
              <w:rPr>
                <w:sz w:val="20"/>
              </w:rPr>
              <w:t>No Codex-like worktree isolation and thread management.</w:t>
            </w:r>
          </w:p>
        </w:tc>
      </w:tr>
      <w:tr>
        <w:trPr>
          <w:cantSplit/>
        </w:trPr>
        <w:tc>
          <w:tcPr>
            <w:tcW w:type="dxa" w:w="2520"/>
            <w:tcMar>
              <w:top w:w="80" w:type="dxa"/>
              <w:start w:w="120" w:type="dxa"/>
              <w:bottom w:w="80" w:type="dxa"/>
              <w:end w:w="120" w:type="dxa"/>
            </w:tcMar>
            <w:vAlign w:val="top"/>
          </w:tcPr>
          <w:p>
            <w:pPr>
              <w:spacing w:after="0"/>
            </w:pPr>
            <w:r>
              <w:rPr>
                <w:sz w:val="20"/>
              </w:rPr>
              <w:t>Cloud mode</w:t>
            </w:r>
          </w:p>
        </w:tc>
        <w:tc>
          <w:tcPr>
            <w:tcW w:type="dxa" w:w="1872"/>
            <w:tcMar>
              <w:top w:w="80" w:type="dxa"/>
              <w:start w:w="120" w:type="dxa"/>
              <w:bottom w:w="80" w:type="dxa"/>
              <w:end w:w="120" w:type="dxa"/>
            </w:tcMar>
            <w:vAlign w:val="top"/>
          </w:tcPr>
          <w:p>
            <w:pPr>
              <w:spacing w:after="0"/>
            </w:pPr>
            <w:r>
              <w:rPr>
                <w:sz w:val="20"/>
              </w:rPr>
              <w:t>Missing</w:t>
            </w:r>
          </w:p>
        </w:tc>
        <w:tc>
          <w:tcPr>
            <w:tcW w:type="dxa" w:w="4968"/>
            <w:tcMar>
              <w:top w:w="80" w:type="dxa"/>
              <w:start w:w="120" w:type="dxa"/>
              <w:bottom w:w="80" w:type="dxa"/>
              <w:end w:w="120" w:type="dxa"/>
            </w:tcMar>
            <w:vAlign w:val="top"/>
          </w:tcPr>
          <w:p>
            <w:pPr>
              <w:spacing w:after="0"/>
            </w:pPr>
            <w:r>
              <w:rPr>
                <w:sz w:val="20"/>
              </w:rPr>
              <w:t>No hosted remote execution surface.</w:t>
            </w:r>
          </w:p>
        </w:tc>
      </w:tr>
      <w:tr>
        <w:trPr>
          <w:cantSplit/>
        </w:trPr>
        <w:tc>
          <w:tcPr>
            <w:tcW w:type="dxa" w:w="2520"/>
            <w:tcMar>
              <w:top w:w="80" w:type="dxa"/>
              <w:start w:w="120" w:type="dxa"/>
              <w:bottom w:w="80" w:type="dxa"/>
              <w:end w:w="120" w:type="dxa"/>
            </w:tcMar>
            <w:vAlign w:val="top"/>
          </w:tcPr>
          <w:p>
            <w:pPr>
              <w:spacing w:after="0"/>
            </w:pPr>
            <w:r>
              <w:rPr>
                <w:sz w:val="20"/>
              </w:rPr>
              <w:t>MCP</w:t>
            </w:r>
          </w:p>
        </w:tc>
        <w:tc>
          <w:tcPr>
            <w:tcW w:type="dxa" w:w="1872"/>
            <w:tcMar>
              <w:top w:w="80" w:type="dxa"/>
              <w:start w:w="120" w:type="dxa"/>
              <w:bottom w:w="80" w:type="dxa"/>
              <w:end w:w="120" w:type="dxa"/>
            </w:tcMar>
            <w:vAlign w:val="top"/>
          </w:tcPr>
          <w:p>
            <w:pPr>
              <w:spacing w:after="0"/>
            </w:pPr>
            <w:r>
              <w:rPr>
                <w:sz w:val="20"/>
              </w:rPr>
              <w:t>Missing as product capability</w:t>
            </w:r>
          </w:p>
        </w:tc>
        <w:tc>
          <w:tcPr>
            <w:tcW w:type="dxa" w:w="4968"/>
            <w:tcMar>
              <w:top w:w="80" w:type="dxa"/>
              <w:start w:w="120" w:type="dxa"/>
              <w:bottom w:w="80" w:type="dxa"/>
              <w:end w:w="120" w:type="dxa"/>
            </w:tcMar>
            <w:vAlign w:val="top"/>
          </w:tcPr>
          <w:p>
            <w:pPr>
              <w:spacing w:after="0"/>
            </w:pPr>
            <w:r>
              <w:rPr>
                <w:sz w:val="20"/>
              </w:rPr>
              <w:t>Architecture can add it, but current product does not expose Codex-style MCP setup/use.</w:t>
            </w:r>
          </w:p>
        </w:tc>
      </w:tr>
      <w:tr>
        <w:trPr>
          <w:cantSplit/>
        </w:trPr>
        <w:tc>
          <w:tcPr>
            <w:tcW w:type="dxa" w:w="2520"/>
            <w:tcMar>
              <w:top w:w="80" w:type="dxa"/>
              <w:start w:w="120" w:type="dxa"/>
              <w:bottom w:w="80" w:type="dxa"/>
              <w:end w:w="120" w:type="dxa"/>
            </w:tcMar>
            <w:vAlign w:val="top"/>
          </w:tcPr>
          <w:p>
            <w:pPr>
              <w:spacing w:after="0"/>
            </w:pPr>
            <w:r>
              <w:rPr>
                <w:sz w:val="20"/>
              </w:rPr>
              <w:t>Skills</w:t>
            </w:r>
          </w:p>
        </w:tc>
        <w:tc>
          <w:tcPr>
            <w:tcW w:type="dxa" w:w="1872"/>
            <w:tcMar>
              <w:top w:w="80" w:type="dxa"/>
              <w:start w:w="120" w:type="dxa"/>
              <w:bottom w:w="80" w:type="dxa"/>
              <w:end w:w="120" w:type="dxa"/>
            </w:tcMar>
            <w:vAlign w:val="top"/>
          </w:tcPr>
          <w:p>
            <w:pPr>
              <w:spacing w:after="0"/>
            </w:pPr>
            <w:r>
              <w:rPr>
                <w:sz w:val="20"/>
              </w:rPr>
              <w:t>Missing as product capability</w:t>
            </w:r>
          </w:p>
        </w:tc>
        <w:tc>
          <w:tcPr>
            <w:tcW w:type="dxa" w:w="4968"/>
            <w:tcMar>
              <w:top w:w="80" w:type="dxa"/>
              <w:start w:w="120" w:type="dxa"/>
              <w:bottom w:w="80" w:type="dxa"/>
              <w:end w:w="120" w:type="dxa"/>
            </w:tcMar>
            <w:vAlign w:val="top"/>
          </w:tcPr>
          <w:p>
            <w:pPr>
              <w:spacing w:after="0"/>
            </w:pPr>
            <w:r>
              <w:rPr>
                <w:sz w:val="20"/>
              </w:rPr>
              <w:t>No reusable skill loader comparable to Codex skills.</w:t>
            </w:r>
          </w:p>
        </w:tc>
      </w:tr>
      <w:tr>
        <w:trPr>
          <w:cantSplit/>
        </w:trPr>
        <w:tc>
          <w:tcPr>
            <w:tcW w:type="dxa" w:w="2520"/>
            <w:tcMar>
              <w:top w:w="80" w:type="dxa"/>
              <w:start w:w="120" w:type="dxa"/>
              <w:bottom w:w="80" w:type="dxa"/>
              <w:end w:w="120" w:type="dxa"/>
            </w:tcMar>
            <w:vAlign w:val="top"/>
          </w:tcPr>
          <w:p>
            <w:pPr>
              <w:spacing w:after="0"/>
            </w:pPr>
            <w:r>
              <w:rPr>
                <w:sz w:val="20"/>
              </w:rPr>
              <w:t>Plugins/connectors</w:t>
            </w:r>
          </w:p>
        </w:tc>
        <w:tc>
          <w:tcPr>
            <w:tcW w:type="dxa" w:w="1872"/>
            <w:tcMar>
              <w:top w:w="80" w:type="dxa"/>
              <w:start w:w="120" w:type="dxa"/>
              <w:bottom w:w="80" w:type="dxa"/>
              <w:end w:w="120" w:type="dxa"/>
            </w:tcMar>
            <w:vAlign w:val="top"/>
          </w:tcPr>
          <w:p>
            <w:pPr>
              <w:spacing w:after="0"/>
            </w:pPr>
            <w:r>
              <w:rPr>
                <w:sz w:val="20"/>
              </w:rPr>
              <w:t>Missing</w:t>
            </w:r>
          </w:p>
        </w:tc>
        <w:tc>
          <w:tcPr>
            <w:tcW w:type="dxa" w:w="4968"/>
            <w:tcMar>
              <w:top w:w="80" w:type="dxa"/>
              <w:start w:w="120" w:type="dxa"/>
              <w:bottom w:w="80" w:type="dxa"/>
              <w:end w:w="120" w:type="dxa"/>
            </w:tcMar>
            <w:vAlign w:val="top"/>
          </w:tcPr>
          <w:p>
            <w:pPr>
              <w:spacing w:after="0"/>
            </w:pPr>
            <w:r>
              <w:rPr>
                <w:sz w:val="20"/>
              </w:rPr>
              <w:t>No installable plugin/app ecosystem comparable to Codex.</w:t>
            </w:r>
          </w:p>
        </w:tc>
      </w:tr>
      <w:tr>
        <w:trPr>
          <w:cantSplit/>
        </w:trPr>
        <w:tc>
          <w:tcPr>
            <w:tcW w:type="dxa" w:w="2520"/>
            <w:tcMar>
              <w:top w:w="80" w:type="dxa"/>
              <w:start w:w="120" w:type="dxa"/>
              <w:bottom w:w="80" w:type="dxa"/>
              <w:end w:w="120" w:type="dxa"/>
            </w:tcMar>
            <w:vAlign w:val="top"/>
          </w:tcPr>
          <w:p>
            <w:pPr>
              <w:spacing w:after="0"/>
            </w:pPr>
            <w:r>
              <w:rPr>
                <w:sz w:val="20"/>
              </w:rPr>
              <w:t>Automations</w:t>
            </w:r>
          </w:p>
        </w:tc>
        <w:tc>
          <w:tcPr>
            <w:tcW w:type="dxa" w:w="1872"/>
            <w:tcMar>
              <w:top w:w="80" w:type="dxa"/>
              <w:start w:w="120" w:type="dxa"/>
              <w:bottom w:w="80" w:type="dxa"/>
              <w:end w:w="120" w:type="dxa"/>
            </w:tcMar>
            <w:vAlign w:val="top"/>
          </w:tcPr>
          <w:p>
            <w:pPr>
              <w:spacing w:after="0"/>
            </w:pPr>
            <w:r>
              <w:rPr>
                <w:sz w:val="20"/>
              </w:rPr>
              <w:t>Missing or early</w:t>
            </w:r>
          </w:p>
        </w:tc>
        <w:tc>
          <w:tcPr>
            <w:tcW w:type="dxa" w:w="4968"/>
            <w:tcMar>
              <w:top w:w="80" w:type="dxa"/>
              <w:start w:w="120" w:type="dxa"/>
              <w:bottom w:w="80" w:type="dxa"/>
              <w:end w:w="120" w:type="dxa"/>
            </w:tcMar>
            <w:vAlign w:val="top"/>
          </w:tcPr>
          <w:p>
            <w:pPr>
              <w:spacing w:after="0"/>
            </w:pPr>
            <w:r>
              <w:rPr>
                <w:sz w:val="20"/>
              </w:rPr>
              <w:t>Campaigns exist, but not Codex-style scheduled thread automations.</w:t>
            </w:r>
          </w:p>
        </w:tc>
      </w:tr>
      <w:tr>
        <w:trPr>
          <w:cantSplit/>
        </w:trPr>
        <w:tc>
          <w:tcPr>
            <w:tcW w:type="dxa" w:w="2520"/>
            <w:tcMar>
              <w:top w:w="80" w:type="dxa"/>
              <w:start w:w="120" w:type="dxa"/>
              <w:bottom w:w="80" w:type="dxa"/>
              <w:end w:w="120" w:type="dxa"/>
            </w:tcMar>
            <w:vAlign w:val="top"/>
          </w:tcPr>
          <w:p>
            <w:pPr>
              <w:spacing w:after="0"/>
            </w:pPr>
            <w:r>
              <w:rPr>
                <w:sz w:val="20"/>
              </w:rPr>
              <w:t>Subagents</w:t>
            </w:r>
          </w:p>
        </w:tc>
        <w:tc>
          <w:tcPr>
            <w:tcW w:type="dxa" w:w="1872"/>
            <w:tcMar>
              <w:top w:w="80" w:type="dxa"/>
              <w:start w:w="120" w:type="dxa"/>
              <w:bottom w:w="80" w:type="dxa"/>
              <w:end w:w="120" w:type="dxa"/>
            </w:tcMar>
            <w:vAlign w:val="top"/>
          </w:tcPr>
          <w:p>
            <w:pPr>
              <w:spacing w:after="0"/>
            </w:pPr>
            <w:r>
              <w:rPr>
                <w:sz w:val="20"/>
              </w:rPr>
              <w:t>Partial</w:t>
            </w:r>
          </w:p>
        </w:tc>
        <w:tc>
          <w:tcPr>
            <w:tcW w:type="dxa" w:w="4968"/>
            <w:tcMar>
              <w:top w:w="80" w:type="dxa"/>
              <w:start w:w="120" w:type="dxa"/>
              <w:bottom w:w="80" w:type="dxa"/>
              <w:end w:w="120" w:type="dxa"/>
            </w:tcMar>
            <w:vAlign w:val="top"/>
          </w:tcPr>
          <w:p>
            <w:pPr>
              <w:spacing w:after="0"/>
            </w:pPr>
            <w:r>
              <w:rPr>
                <w:sz w:val="20"/>
              </w:rPr>
              <w:t>Internal swarm exists, but provider-backed production subagent workflows are not fully mature.</w:t>
            </w:r>
          </w:p>
        </w:tc>
      </w:tr>
      <w:tr>
        <w:trPr>
          <w:cantSplit/>
        </w:trPr>
        <w:tc>
          <w:tcPr>
            <w:tcW w:type="dxa" w:w="2520"/>
            <w:tcMar>
              <w:top w:w="80" w:type="dxa"/>
              <w:start w:w="120" w:type="dxa"/>
              <w:bottom w:w="80" w:type="dxa"/>
              <w:end w:w="120" w:type="dxa"/>
            </w:tcMar>
            <w:vAlign w:val="top"/>
          </w:tcPr>
          <w:p>
            <w:pPr>
              <w:spacing w:after="0"/>
            </w:pPr>
            <w:r>
              <w:rPr>
                <w:sz w:val="20"/>
              </w:rPr>
              <w:t>Approvals and sandboxing</w:t>
            </w:r>
          </w:p>
        </w:tc>
        <w:tc>
          <w:tcPr>
            <w:tcW w:type="dxa" w:w="1872"/>
            <w:tcMar>
              <w:top w:w="80" w:type="dxa"/>
              <w:start w:w="120" w:type="dxa"/>
              <w:bottom w:w="80" w:type="dxa"/>
              <w:end w:w="120" w:type="dxa"/>
            </w:tcMar>
            <w:vAlign w:val="top"/>
          </w:tcPr>
          <w:p>
            <w:pPr>
              <w:spacing w:after="0"/>
            </w:pPr>
            <w:r>
              <w:rPr>
                <w:sz w:val="20"/>
              </w:rPr>
              <w:t>Partial</w:t>
            </w:r>
          </w:p>
        </w:tc>
        <w:tc>
          <w:tcPr>
            <w:tcW w:type="dxa" w:w="4968"/>
            <w:tcMar>
              <w:top w:w="80" w:type="dxa"/>
              <w:start w:w="120" w:type="dxa"/>
              <w:bottom w:w="80" w:type="dxa"/>
              <w:end w:w="120" w:type="dxa"/>
            </w:tcMar>
            <w:vAlign w:val="top"/>
          </w:tcPr>
          <w:p>
            <w:pPr>
              <w:spacing w:after="0"/>
            </w:pPr>
            <w:r>
              <w:rPr>
                <w:sz w:val="20"/>
              </w:rPr>
              <w:t>Approval gates and Rust authority are real; sandbox/process isolation is weaker.</w:t>
            </w:r>
          </w:p>
        </w:tc>
      </w:tr>
    </w:tbl>
    <w:p/>
    <w:p>
      <w:pPr>
        <w:pStyle w:val="Heading1"/>
      </w:pPr>
      <w:r>
        <w:t>Validation Findings</w:t>
      </w:r>
    </w:p>
    <w:p>
      <w:r>
        <w:t>Commands run during this assessment:</w:t>
      </w:r>
    </w:p>
    <w:tbl>
      <w:tblPr>
        <w:tblStyle w:val="TableGrid"/>
        <w:tblW w:type="dxa" w:w="9360"/>
        <w:jc w:val="center"/>
        <w:tblLayout w:type="fixed"/>
        <w:tblLook w:firstColumn="1" w:firstRow="1" w:lastColumn="0" w:lastRow="0" w:noHBand="0" w:noVBand="1" w:val="04A0"/>
      </w:tblPr>
      <w:tblGrid>
        <w:gridCol w:w="3384"/>
        <w:gridCol w:w="2232"/>
        <w:gridCol w:w="3744"/>
      </w:tblGrid>
      <w:tr>
        <w:trPr>
          <w:tblHeader w:val="true"/>
          <w:cantSplit/>
        </w:trPr>
        <w:tc>
          <w:tcPr>
            <w:tcW w:type="dxa" w:w="3384"/>
            <w:vAlign w:val="top"/>
            <w:tcMar>
              <w:top w:w="80" w:type="dxa"/>
              <w:start w:w="120" w:type="dxa"/>
              <w:bottom w:w="80" w:type="dxa"/>
              <w:end w:w="120" w:type="dxa"/>
            </w:tcMar>
            <w:shd w:fill="E8EEF5"/>
          </w:tcPr>
          <w:p>
            <w:pPr>
              <w:spacing w:after="0"/>
            </w:pPr>
            <w:r>
              <w:rPr>
                <w:b/>
                <w:color w:val="0B2545"/>
                <w:sz w:val="20"/>
              </w:rPr>
              <w:t>Command</w:t>
            </w:r>
          </w:p>
        </w:tc>
        <w:tc>
          <w:tcPr>
            <w:tcW w:type="dxa" w:w="2232"/>
            <w:vAlign w:val="top"/>
            <w:tcMar>
              <w:top w:w="80" w:type="dxa"/>
              <w:start w:w="120" w:type="dxa"/>
              <w:bottom w:w="80" w:type="dxa"/>
              <w:end w:w="120" w:type="dxa"/>
            </w:tcMar>
            <w:shd w:fill="E8EEF5"/>
          </w:tcPr>
          <w:p>
            <w:pPr>
              <w:spacing w:after="0"/>
            </w:pPr>
            <w:r>
              <w:rPr>
                <w:b/>
                <w:color w:val="0B2545"/>
                <w:sz w:val="20"/>
              </w:rPr>
              <w:t>Result</w:t>
            </w:r>
          </w:p>
        </w:tc>
        <w:tc>
          <w:tcPr>
            <w:tcW w:type="dxa" w:w="3744"/>
            <w:vAlign w:val="top"/>
            <w:tcMar>
              <w:top w:w="80" w:type="dxa"/>
              <w:start w:w="120" w:type="dxa"/>
              <w:bottom w:w="80" w:type="dxa"/>
              <w:end w:w="120" w:type="dxa"/>
            </w:tcMar>
            <w:shd w:fill="E8EEF5"/>
          </w:tcPr>
          <w:p>
            <w:pPr>
              <w:spacing w:after="0"/>
            </w:pPr>
            <w:r>
              <w:rPr>
                <w:b/>
                <w:color w:val="0B2545"/>
                <w:sz w:val="20"/>
              </w:rPr>
              <w:t>Interpretation</w:t>
            </w:r>
          </w:p>
        </w:tc>
      </w:tr>
      <w:tr>
        <w:trPr>
          <w:cantSplit/>
        </w:trPr>
        <w:tc>
          <w:tcPr>
            <w:tcW w:type="dxa" w:w="3384"/>
            <w:tcMar>
              <w:top w:w="80" w:type="dxa"/>
              <w:start w:w="120" w:type="dxa"/>
              <w:bottom w:w="80" w:type="dxa"/>
              <w:end w:w="120" w:type="dxa"/>
            </w:tcMar>
            <w:vAlign w:val="top"/>
          </w:tcPr>
          <w:p>
            <w:pPr>
              <w:spacing w:after="0"/>
            </w:pPr>
            <w:r>
              <w:rPr>
                <w:sz w:val="20"/>
              </w:rPr>
              <w:t>npm run memory:index-status</w:t>
            </w:r>
          </w:p>
        </w:tc>
        <w:tc>
          <w:tcPr>
            <w:tcW w:type="dxa" w:w="2232"/>
            <w:tcMar>
              <w:top w:w="80" w:type="dxa"/>
              <w:start w:w="120" w:type="dxa"/>
              <w:bottom w:w="80" w:type="dxa"/>
              <w:end w:w="120" w:type="dxa"/>
            </w:tcMar>
            <w:vAlign w:val="top"/>
          </w:tcPr>
          <w:p>
            <w:pPr>
              <w:spacing w:after="0"/>
            </w:pPr>
            <w:r>
              <w:rPr>
                <w:sz w:val="20"/>
              </w:rPr>
              <w:t>Passed; fresh index; 433 indexed files</w:t>
            </w:r>
          </w:p>
        </w:tc>
        <w:tc>
          <w:tcPr>
            <w:tcW w:type="dxa" w:w="3744"/>
            <w:tcMar>
              <w:top w:w="80" w:type="dxa"/>
              <w:start w:w="120" w:type="dxa"/>
              <w:bottom w:w="80" w:type="dxa"/>
              <w:end w:w="120" w:type="dxa"/>
            </w:tcMar>
            <w:vAlign w:val="top"/>
          </w:tcPr>
          <w:p>
            <w:pPr>
              <w:spacing w:after="0"/>
            </w:pPr>
            <w:r>
              <w:rPr>
                <w:sz w:val="20"/>
              </w:rPr>
              <w:t>Context-sensitive assessment may rely on current repository memory.</w:t>
            </w:r>
          </w:p>
        </w:tc>
      </w:tr>
      <w:tr>
        <w:trPr>
          <w:cantSplit/>
        </w:trPr>
        <w:tc>
          <w:tcPr>
            <w:tcW w:type="dxa" w:w="3384"/>
            <w:tcMar>
              <w:top w:w="80" w:type="dxa"/>
              <w:start w:w="120" w:type="dxa"/>
              <w:bottom w:w="80" w:type="dxa"/>
              <w:end w:w="120" w:type="dxa"/>
            </w:tcMar>
            <w:vAlign w:val="top"/>
          </w:tcPr>
          <w:p>
            <w:pPr>
              <w:spacing w:after="0"/>
            </w:pPr>
            <w:r>
              <w:rPr>
                <w:sz w:val="20"/>
              </w:rPr>
              <w:t>npm run memory:status</w:t>
            </w:r>
          </w:p>
        </w:tc>
        <w:tc>
          <w:tcPr>
            <w:tcW w:type="dxa" w:w="2232"/>
            <w:tcMar>
              <w:top w:w="80" w:type="dxa"/>
              <w:start w:w="120" w:type="dxa"/>
              <w:bottom w:w="80" w:type="dxa"/>
              <w:end w:w="120" w:type="dxa"/>
            </w:tcMar>
            <w:vAlign w:val="top"/>
          </w:tcPr>
          <w:p>
            <w:pPr>
              <w:spacing w:after="0"/>
            </w:pPr>
            <w:r>
              <w:rPr>
                <w:sz w:val="20"/>
              </w:rPr>
              <w:t>Passed</w:t>
            </w:r>
          </w:p>
        </w:tc>
        <w:tc>
          <w:tcPr>
            <w:tcW w:type="dxa" w:w="3744"/>
            <w:tcMar>
              <w:top w:w="80" w:type="dxa"/>
              <w:start w:w="120" w:type="dxa"/>
              <w:bottom w:w="80" w:type="dxa"/>
              <w:end w:w="120" w:type="dxa"/>
            </w:tcMar>
            <w:vAlign w:val="top"/>
          </w:tcPr>
          <w:p>
            <w:pPr>
              <w:spacing w:after="0"/>
            </w:pPr>
            <w:r>
              <w:rPr>
                <w:sz w:val="20"/>
              </w:rPr>
              <w:t>SQLite memory is db_first and includes key index artifacts.</w:t>
            </w:r>
          </w:p>
        </w:tc>
      </w:tr>
      <w:tr>
        <w:trPr>
          <w:cantSplit/>
        </w:trPr>
        <w:tc>
          <w:tcPr>
            <w:tcW w:type="dxa" w:w="3384"/>
            <w:tcMar>
              <w:top w:w="80" w:type="dxa"/>
              <w:start w:w="120" w:type="dxa"/>
              <w:bottom w:w="80" w:type="dxa"/>
              <w:end w:w="120" w:type="dxa"/>
            </w:tcMar>
            <w:vAlign w:val="top"/>
          </w:tcPr>
          <w:p>
            <w:pPr>
              <w:spacing w:after="0"/>
            </w:pPr>
            <w:r>
              <w:rPr>
                <w:sz w:val="20"/>
              </w:rPr>
              <w:t>npm run typecheck</w:t>
            </w:r>
          </w:p>
        </w:tc>
        <w:tc>
          <w:tcPr>
            <w:tcW w:type="dxa" w:w="2232"/>
            <w:tcMar>
              <w:top w:w="80" w:type="dxa"/>
              <w:start w:w="120" w:type="dxa"/>
              <w:bottom w:w="80" w:type="dxa"/>
              <w:end w:w="120" w:type="dxa"/>
            </w:tcMar>
            <w:vAlign w:val="top"/>
          </w:tcPr>
          <w:p>
            <w:pPr>
              <w:spacing w:after="0"/>
            </w:pPr>
            <w:r>
              <w:rPr>
                <w:sz w:val="20"/>
              </w:rPr>
              <w:t>Passed</w:t>
            </w:r>
          </w:p>
        </w:tc>
        <w:tc>
          <w:tcPr>
            <w:tcW w:type="dxa" w:w="3744"/>
            <w:tcMar>
              <w:top w:w="80" w:type="dxa"/>
              <w:start w:w="120" w:type="dxa"/>
              <w:bottom w:w="80" w:type="dxa"/>
              <w:end w:w="120" w:type="dxa"/>
            </w:tcMar>
            <w:vAlign w:val="top"/>
          </w:tcPr>
          <w:p>
            <w:pPr>
              <w:spacing w:after="0"/>
            </w:pPr>
            <w:r>
              <w:rPr>
                <w:sz w:val="20"/>
              </w:rPr>
              <w:t>Strict TypeScript health is good across workspaces.</w:t>
            </w:r>
          </w:p>
        </w:tc>
      </w:tr>
      <w:tr>
        <w:trPr>
          <w:cantSplit/>
        </w:trPr>
        <w:tc>
          <w:tcPr>
            <w:tcW w:type="dxa" w:w="3384"/>
            <w:tcMar>
              <w:top w:w="80" w:type="dxa"/>
              <w:start w:w="120" w:type="dxa"/>
              <w:bottom w:w="80" w:type="dxa"/>
              <w:end w:w="120" w:type="dxa"/>
            </w:tcMar>
            <w:vAlign w:val="top"/>
          </w:tcPr>
          <w:p>
            <w:pPr>
              <w:spacing w:after="0"/>
            </w:pPr>
            <w:r>
              <w:rPr>
                <w:sz w:val="20"/>
              </w:rPr>
              <w:t>npm run test:reasoning-v2</w:t>
            </w:r>
          </w:p>
        </w:tc>
        <w:tc>
          <w:tcPr>
            <w:tcW w:type="dxa" w:w="2232"/>
            <w:tcMar>
              <w:top w:w="80" w:type="dxa"/>
              <w:start w:w="120" w:type="dxa"/>
              <w:bottom w:w="80" w:type="dxa"/>
              <w:end w:w="120" w:type="dxa"/>
            </w:tcMar>
            <w:vAlign w:val="top"/>
          </w:tcPr>
          <w:p>
            <w:pPr>
              <w:spacing w:after="0"/>
            </w:pPr>
            <w:r>
              <w:rPr>
                <w:sz w:val="20"/>
              </w:rPr>
              <w:t>Passed; 42/42</w:t>
            </w:r>
          </w:p>
        </w:tc>
        <w:tc>
          <w:tcPr>
            <w:tcW w:type="dxa" w:w="3744"/>
            <w:tcMar>
              <w:top w:w="80" w:type="dxa"/>
              <w:start w:w="120" w:type="dxa"/>
              <w:bottom w:w="80" w:type="dxa"/>
              <w:end w:w="120" w:type="dxa"/>
            </w:tcMar>
            <w:vAlign w:val="top"/>
          </w:tcPr>
          <w:p>
            <w:pPr>
              <w:spacing w:after="0"/>
            </w:pPr>
            <w:r>
              <w:rPr>
                <w:sz w:val="20"/>
              </w:rPr>
              <w:t>Adaptive reasoning and provider-truth kernel are in good shape.</w:t>
            </w:r>
          </w:p>
        </w:tc>
      </w:tr>
      <w:tr>
        <w:trPr>
          <w:cantSplit/>
        </w:trPr>
        <w:tc>
          <w:tcPr>
            <w:tcW w:type="dxa" w:w="3384"/>
            <w:tcMar>
              <w:top w:w="80" w:type="dxa"/>
              <w:start w:w="120" w:type="dxa"/>
              <w:bottom w:w="80" w:type="dxa"/>
              <w:end w:w="120" w:type="dxa"/>
            </w:tcMar>
            <w:vAlign w:val="top"/>
          </w:tcPr>
          <w:p>
            <w:pPr>
              <w:spacing w:after="0"/>
            </w:pPr>
            <w:r>
              <w:rPr>
                <w:sz w:val="20"/>
              </w:rPr>
              <w:t>cargo test --manifest-path apps/desktop/src-tauri/Cargo.toml</w:t>
            </w:r>
          </w:p>
        </w:tc>
        <w:tc>
          <w:tcPr>
            <w:tcW w:type="dxa" w:w="2232"/>
            <w:tcMar>
              <w:top w:w="80" w:type="dxa"/>
              <w:start w:w="120" w:type="dxa"/>
              <w:bottom w:w="80" w:type="dxa"/>
              <w:end w:w="120" w:type="dxa"/>
            </w:tcMar>
            <w:vAlign w:val="top"/>
          </w:tcPr>
          <w:p>
            <w:pPr>
              <w:spacing w:after="0"/>
            </w:pPr>
            <w:r>
              <w:rPr>
                <w:sz w:val="20"/>
              </w:rPr>
              <w:t>Passed</w:t>
            </w:r>
          </w:p>
        </w:tc>
        <w:tc>
          <w:tcPr>
            <w:tcW w:type="dxa" w:w="3744"/>
            <w:tcMar>
              <w:top w:w="80" w:type="dxa"/>
              <w:start w:w="120" w:type="dxa"/>
              <w:bottom w:w="80" w:type="dxa"/>
              <w:end w:w="120" w:type="dxa"/>
            </w:tcMar>
            <w:vAlign w:val="top"/>
          </w:tcPr>
          <w:p>
            <w:pPr>
              <w:spacing w:after="0"/>
            </w:pPr>
            <w:r>
              <w:rPr>
                <w:sz w:val="20"/>
              </w:rPr>
              <w:t>Rust authority layer is healthy in tested areas.</w:t>
            </w:r>
          </w:p>
        </w:tc>
      </w:tr>
      <w:tr>
        <w:trPr>
          <w:cantSplit/>
        </w:trPr>
        <w:tc>
          <w:tcPr>
            <w:tcW w:type="dxa" w:w="3384"/>
            <w:tcMar>
              <w:top w:w="80" w:type="dxa"/>
              <w:start w:w="120" w:type="dxa"/>
              <w:bottom w:w="80" w:type="dxa"/>
              <w:end w:w="120" w:type="dxa"/>
            </w:tcMar>
            <w:vAlign w:val="top"/>
          </w:tcPr>
          <w:p>
            <w:pPr>
              <w:spacing w:after="0"/>
            </w:pPr>
            <w:r>
              <w:rPr>
                <w:sz w:val="20"/>
              </w:rPr>
              <w:t>npm run test</w:t>
            </w:r>
          </w:p>
        </w:tc>
        <w:tc>
          <w:tcPr>
            <w:tcW w:type="dxa" w:w="2232"/>
            <w:tcMar>
              <w:top w:w="80" w:type="dxa"/>
              <w:start w:w="120" w:type="dxa"/>
              <w:bottom w:w="80" w:type="dxa"/>
              <w:end w:w="120" w:type="dxa"/>
            </w:tcMar>
            <w:vAlign w:val="top"/>
          </w:tcPr>
          <w:p>
            <w:pPr>
              <w:spacing w:after="0"/>
            </w:pPr>
            <w:r>
              <w:rPr>
                <w:sz w:val="20"/>
              </w:rPr>
              <w:t>Failed; 503 passed, 156 failed</w:t>
            </w:r>
          </w:p>
        </w:tc>
        <w:tc>
          <w:tcPr>
            <w:tcW w:type="dxa" w:w="3744"/>
            <w:tcMar>
              <w:top w:w="80" w:type="dxa"/>
              <w:start w:w="120" w:type="dxa"/>
              <w:bottom w:w="80" w:type="dxa"/>
              <w:end w:w="120" w:type="dxa"/>
            </w:tcMar>
            <w:vAlign w:val="top"/>
          </w:tcPr>
          <w:p>
            <w:pPr>
              <w:spacing w:after="0"/>
            </w:pPr>
            <w:r>
              <w:rPr>
                <w:sz w:val="20"/>
              </w:rPr>
              <w:t>Full runtime product validation is not currently green.</w:t>
            </w:r>
          </w:p>
        </w:tc>
      </w:tr>
    </w:tbl>
    <w:p/>
    <w:p>
      <w:r>
        <w:t>Visible failure categories in the full runtime suite:</w:t>
      </w:r>
    </w:p>
    <w:p>
      <w:pPr>
        <w:pStyle w:val="ListBullet"/>
      </w:pPr>
      <w:r>
        <w:t>Tests still creating demo/mock sessions now fail with provider_mock_forbidden.</w:t>
      </w:r>
    </w:p>
    <w:p>
      <w:pPr>
        <w:pStyle w:val="ListBullet"/>
      </w:pPr>
      <w:r>
        <w:t>Provider-backed explain and swarm tests fail when the provider is unavailable or marked not used.</w:t>
      </w:r>
    </w:p>
    <w:p>
      <w:pPr>
        <w:pStyle w:val="ListBullet"/>
      </w:pPr>
      <w:r>
        <w:t>Some plan-only orchestration tests expect succeeded while current behavior returns blocked.</w:t>
      </w:r>
    </w:p>
    <w:p>
      <w:pPr>
        <w:pStyle w:val="ListBullet"/>
      </w:pPr>
      <w:r>
        <w:t>Several UniversalProjectQuestionEngine tests fail because project_explain_provider_failed is now terminal rather than locally synthesized.</w:t>
      </w:r>
    </w:p>
    <w:p>
      <w:pPr>
        <w:pStyle w:val="Heading1"/>
      </w:pPr>
      <w:r>
        <w:t>Detailed Modification Checklist</w:t>
      </w:r>
    </w:p>
    <w:p>
      <w:pPr>
        <w:pStyle w:val="Heading2"/>
      </w:pPr>
      <w:r>
        <w:t>P0: Trust And Correctness Blockers</w:t>
      </w:r>
    </w:p>
    <w:tbl>
      <w:tblPr>
        <w:tblStyle w:val="TableGrid"/>
        <w:tblW w:type="dxa" w:w="9360"/>
        <w:jc w:val="center"/>
        <w:tblLayout w:type="fixed"/>
        <w:tblLook w:firstColumn="1" w:firstRow="1" w:lastColumn="0" w:lastRow="0" w:noHBand="0" w:noVBand="1" w:val="04A0"/>
      </w:tblPr>
      <w:tblGrid>
        <w:gridCol w:w="648"/>
        <w:gridCol w:w="2088"/>
        <w:gridCol w:w="1944"/>
        <w:gridCol w:w="2592"/>
        <w:gridCol w:w="2088"/>
      </w:tblGrid>
      <w:tr>
        <w:trPr>
          <w:tblHeader w:val="true"/>
          <w:cantSplit/>
        </w:trPr>
        <w:tc>
          <w:tcPr>
            <w:tcW w:type="dxa" w:w="648"/>
            <w:vAlign w:val="top"/>
            <w:tcMar>
              <w:top w:w="80" w:type="dxa"/>
              <w:start w:w="120" w:type="dxa"/>
              <w:bottom w:w="80" w:type="dxa"/>
              <w:end w:w="120" w:type="dxa"/>
            </w:tcMar>
            <w:shd w:fill="E8EEF5"/>
          </w:tcPr>
          <w:p>
            <w:pPr>
              <w:spacing w:after="0"/>
            </w:pPr>
            <w:r>
              <w:rPr>
                <w:b/>
                <w:color w:val="0B2545"/>
                <w:sz w:val="20"/>
              </w:rPr>
              <w:t>Pri.</w:t>
            </w:r>
          </w:p>
        </w:tc>
        <w:tc>
          <w:tcPr>
            <w:tcW w:type="dxa" w:w="2088"/>
            <w:vAlign w:val="top"/>
            <w:tcMar>
              <w:top w:w="80" w:type="dxa"/>
              <w:start w:w="120" w:type="dxa"/>
              <w:bottom w:w="80" w:type="dxa"/>
              <w:end w:w="120" w:type="dxa"/>
            </w:tcMar>
            <w:shd w:fill="E8EEF5"/>
          </w:tcPr>
          <w:p>
            <w:pPr>
              <w:spacing w:after="0"/>
            </w:pPr>
            <w:r>
              <w:rPr>
                <w:b/>
                <w:color w:val="0B2545"/>
                <w:sz w:val="20"/>
              </w:rPr>
              <w:t>Modification</w:t>
            </w:r>
          </w:p>
        </w:tc>
        <w:tc>
          <w:tcPr>
            <w:tcW w:type="dxa" w:w="1944"/>
            <w:vAlign w:val="top"/>
            <w:tcMar>
              <w:top w:w="80" w:type="dxa"/>
              <w:start w:w="120" w:type="dxa"/>
              <w:bottom w:w="80" w:type="dxa"/>
              <w:end w:w="120" w:type="dxa"/>
            </w:tcMar>
            <w:shd w:fill="E8EEF5"/>
          </w:tcPr>
          <w:p>
            <w:pPr>
              <w:spacing w:after="0"/>
            </w:pPr>
            <w:r>
              <w:rPr>
                <w:b/>
                <w:color w:val="0B2545"/>
                <w:sz w:val="20"/>
              </w:rPr>
              <w:t>Reason</w:t>
            </w:r>
          </w:p>
        </w:tc>
        <w:tc>
          <w:tcPr>
            <w:tcW w:type="dxa" w:w="2592"/>
            <w:vAlign w:val="top"/>
            <w:tcMar>
              <w:top w:w="80" w:type="dxa"/>
              <w:start w:w="120" w:type="dxa"/>
              <w:bottom w:w="80" w:type="dxa"/>
              <w:end w:w="120" w:type="dxa"/>
            </w:tcMar>
            <w:shd w:fill="E8EEF5"/>
          </w:tcPr>
          <w:p>
            <w:pPr>
              <w:spacing w:after="0"/>
            </w:pPr>
            <w:r>
              <w:rPr>
                <w:b/>
                <w:color w:val="0B2545"/>
                <w:sz w:val="20"/>
              </w:rPr>
              <w:t>Work</w:t>
            </w:r>
          </w:p>
        </w:tc>
        <w:tc>
          <w:tcPr>
            <w:tcW w:type="dxa" w:w="2088"/>
            <w:vAlign w:val="top"/>
            <w:tcMar>
              <w:top w:w="80" w:type="dxa"/>
              <w:start w:w="120" w:type="dxa"/>
              <w:bottom w:w="80" w:type="dxa"/>
              <w:end w:w="120" w:type="dxa"/>
            </w:tcMar>
            <w:shd w:fill="E8EEF5"/>
          </w:tcPr>
          <w:p>
            <w:pPr>
              <w:spacing w:after="0"/>
            </w:pPr>
            <w:r>
              <w:rPr>
                <w:b/>
                <w:color w:val="0B2545"/>
                <w:sz w:val="20"/>
              </w:rPr>
              <w:t>Done when</w:t>
            </w:r>
          </w:p>
        </w:tc>
      </w:tr>
      <w:tr>
        <w:trPr>
          <w:cantSplit/>
        </w:trPr>
        <w:tc>
          <w:tcPr>
            <w:tcW w:type="dxa" w:w="648"/>
            <w:tcMar>
              <w:top w:w="80" w:type="dxa"/>
              <w:start w:w="120" w:type="dxa"/>
              <w:bottom w:w="80" w:type="dxa"/>
              <w:end w:w="120" w:type="dxa"/>
            </w:tcMar>
            <w:vAlign w:val="top"/>
          </w:tcPr>
          <w:p>
            <w:pPr>
              <w:spacing w:after="0"/>
            </w:pPr>
            <w:r>
              <w:rPr>
                <w:sz w:val="20"/>
              </w:rPr>
              <w:t>P0</w:t>
            </w:r>
          </w:p>
        </w:tc>
        <w:tc>
          <w:tcPr>
            <w:tcW w:type="dxa" w:w="2088"/>
            <w:tcMar>
              <w:top w:w="80" w:type="dxa"/>
              <w:start w:w="120" w:type="dxa"/>
              <w:bottom w:w="80" w:type="dxa"/>
              <w:end w:w="120" w:type="dxa"/>
            </w:tcMar>
            <w:vAlign w:val="top"/>
          </w:tcPr>
          <w:p>
            <w:pPr>
              <w:spacing w:after="0"/>
            </w:pPr>
            <w:r>
              <w:rPr>
                <w:sz w:val="20"/>
              </w:rPr>
              <w:t>[ ] Make the full runtime suite green</w:t>
            </w:r>
          </w:p>
        </w:tc>
        <w:tc>
          <w:tcPr>
            <w:tcW w:type="dxa" w:w="1944"/>
            <w:tcMar>
              <w:top w:w="80" w:type="dxa"/>
              <w:start w:w="120" w:type="dxa"/>
              <w:bottom w:w="80" w:type="dxa"/>
              <w:end w:w="120" w:type="dxa"/>
            </w:tcMar>
            <w:vAlign w:val="top"/>
          </w:tcPr>
          <w:p>
            <w:pPr>
              <w:spacing w:after="0"/>
            </w:pPr>
            <w:r>
              <w:rPr>
                <w:sz w:val="20"/>
              </w:rPr>
              <w:t>A Codex-level product cannot have 156 failing runtime tests.</w:t>
            </w:r>
          </w:p>
        </w:tc>
        <w:tc>
          <w:tcPr>
            <w:tcW w:type="dxa" w:w="2592"/>
            <w:tcMar>
              <w:top w:w="80" w:type="dxa"/>
              <w:start w:w="120" w:type="dxa"/>
              <w:bottom w:w="80" w:type="dxa"/>
              <w:end w:w="120" w:type="dxa"/>
            </w:tcMar>
            <w:vAlign w:val="top"/>
          </w:tcPr>
          <w:p>
            <w:pPr>
              <w:spacing w:after="0"/>
            </w:pPr>
            <w:r>
              <w:rPr>
                <w:sz w:val="20"/>
              </w:rPr>
              <w:t>Update mock-era tests to use private scripted real_provider fixtures, fix provider-backed test setup, and align plan-only expectations with current blocked semantics.</w:t>
            </w:r>
          </w:p>
        </w:tc>
        <w:tc>
          <w:tcPr>
            <w:tcW w:type="dxa" w:w="2088"/>
            <w:tcMar>
              <w:top w:w="80" w:type="dxa"/>
              <w:start w:w="120" w:type="dxa"/>
              <w:bottom w:w="80" w:type="dxa"/>
              <w:end w:w="120" w:type="dxa"/>
            </w:tcMar>
            <w:vAlign w:val="top"/>
          </w:tcPr>
          <w:p>
            <w:pPr>
              <w:spacing w:after="0"/>
            </w:pPr>
            <w:r>
              <w:rPr>
                <w:sz w:val="20"/>
              </w:rPr>
              <w:t>npm run test passes with 0 failures.</w:t>
            </w:r>
          </w:p>
        </w:tc>
      </w:tr>
      <w:tr>
        <w:trPr>
          <w:cantSplit/>
        </w:trPr>
        <w:tc>
          <w:tcPr>
            <w:tcW w:type="dxa" w:w="648"/>
            <w:tcMar>
              <w:top w:w="80" w:type="dxa"/>
              <w:start w:w="120" w:type="dxa"/>
              <w:bottom w:w="80" w:type="dxa"/>
              <w:end w:w="120" w:type="dxa"/>
            </w:tcMar>
            <w:vAlign w:val="top"/>
          </w:tcPr>
          <w:p>
            <w:pPr>
              <w:spacing w:after="0"/>
            </w:pPr>
            <w:r>
              <w:rPr>
                <w:sz w:val="20"/>
              </w:rPr>
              <w:t>P0</w:t>
            </w:r>
          </w:p>
        </w:tc>
        <w:tc>
          <w:tcPr>
            <w:tcW w:type="dxa" w:w="2088"/>
            <w:tcMar>
              <w:top w:w="80" w:type="dxa"/>
              <w:start w:w="120" w:type="dxa"/>
              <w:bottom w:w="80" w:type="dxa"/>
              <w:end w:w="120" w:type="dxa"/>
            </w:tcMar>
            <w:vAlign w:val="top"/>
          </w:tcPr>
          <w:p>
            <w:pPr>
              <w:spacing w:after="0"/>
            </w:pPr>
            <w:r>
              <w:rPr>
                <w:sz w:val="20"/>
              </w:rPr>
              <w:t>[ ] Finish mock/demo migration</w:t>
            </w:r>
          </w:p>
        </w:tc>
        <w:tc>
          <w:tcPr>
            <w:tcW w:type="dxa" w:w="1944"/>
            <w:tcMar>
              <w:top w:w="80" w:type="dxa"/>
              <w:start w:w="120" w:type="dxa"/>
              <w:bottom w:w="80" w:type="dxa"/>
              <w:end w:w="120" w:type="dxa"/>
            </w:tcMar>
            <w:vAlign w:val="top"/>
          </w:tcPr>
          <w:p>
            <w:pPr>
              <w:spacing w:after="0"/>
            </w:pPr>
            <w:r>
              <w:rPr>
                <w:sz w:val="20"/>
              </w:rPr>
              <w:t>Production now forbids mock sessions, but docs and tests still refer to mock runtime paths.</w:t>
            </w:r>
          </w:p>
        </w:tc>
        <w:tc>
          <w:tcPr>
            <w:tcW w:type="dxa" w:w="2592"/>
            <w:tcMar>
              <w:top w:w="80" w:type="dxa"/>
              <w:start w:w="120" w:type="dxa"/>
              <w:bottom w:w="80" w:type="dxa"/>
              <w:end w:w="120" w:type="dxa"/>
            </w:tcMar>
            <w:vAlign w:val="top"/>
          </w:tcPr>
          <w:p>
            <w:pPr>
              <w:spacing w:after="0"/>
            </w:pPr>
            <w:r>
              <w:rPr>
                <w:sz w:val="20"/>
              </w:rPr>
              <w:t>Remove or quarantine runtime-selectable mock assumptions; keep scripted providers only inside tests; update module docs and smoke names.</w:t>
            </w:r>
          </w:p>
        </w:tc>
        <w:tc>
          <w:tcPr>
            <w:tcW w:type="dxa" w:w="2088"/>
            <w:tcMar>
              <w:top w:w="80" w:type="dxa"/>
              <w:start w:w="120" w:type="dxa"/>
              <w:bottom w:w="80" w:type="dxa"/>
              <w:end w:w="120" w:type="dxa"/>
            </w:tcMar>
            <w:vAlign w:val="top"/>
          </w:tcPr>
          <w:p>
            <w:pPr>
              <w:spacing w:after="0"/>
            </w:pPr>
            <w:r>
              <w:rPr>
                <w:sz w:val="20"/>
              </w:rPr>
              <w:t>Production search finds no runtime-selectable mock path outside tests or history.</w:t>
            </w:r>
          </w:p>
        </w:tc>
      </w:tr>
      <w:tr>
        <w:trPr>
          <w:cantSplit/>
        </w:trPr>
        <w:tc>
          <w:tcPr>
            <w:tcW w:type="dxa" w:w="648"/>
            <w:tcMar>
              <w:top w:w="80" w:type="dxa"/>
              <w:start w:w="120" w:type="dxa"/>
              <w:bottom w:w="80" w:type="dxa"/>
              <w:end w:w="120" w:type="dxa"/>
            </w:tcMar>
            <w:vAlign w:val="top"/>
          </w:tcPr>
          <w:p>
            <w:pPr>
              <w:spacing w:after="0"/>
            </w:pPr>
            <w:r>
              <w:rPr>
                <w:sz w:val="20"/>
              </w:rPr>
              <w:t>P0</w:t>
            </w:r>
          </w:p>
        </w:tc>
        <w:tc>
          <w:tcPr>
            <w:tcW w:type="dxa" w:w="2088"/>
            <w:tcMar>
              <w:top w:w="80" w:type="dxa"/>
              <w:start w:w="120" w:type="dxa"/>
              <w:bottom w:w="80" w:type="dxa"/>
              <w:end w:w="120" w:type="dxa"/>
            </w:tcMar>
            <w:vAlign w:val="top"/>
          </w:tcPr>
          <w:p>
            <w:pPr>
              <w:spacing w:after="0"/>
            </w:pPr>
            <w:r>
              <w:rPr>
                <w:sz w:val="20"/>
              </w:rPr>
              <w:t>[ ] Create one durable event authority</w:t>
            </w:r>
          </w:p>
        </w:tc>
        <w:tc>
          <w:tcPr>
            <w:tcW w:type="dxa" w:w="1944"/>
            <w:tcMar>
              <w:top w:w="80" w:type="dxa"/>
              <w:start w:w="120" w:type="dxa"/>
              <w:bottom w:w="80" w:type="dxa"/>
              <w:end w:w="120" w:type="dxa"/>
            </w:tcMar>
            <w:vAlign w:val="top"/>
          </w:tcPr>
          <w:p>
            <w:pPr>
              <w:spacing w:after="0"/>
            </w:pPr>
            <w:r>
              <w:rPr>
                <w:sz w:val="20"/>
              </w:rPr>
              <w:t>Patch/apply/verify truth is split across runtime, frontend, Rust, and SQLite projections.</w:t>
            </w:r>
          </w:p>
        </w:tc>
        <w:tc>
          <w:tcPr>
            <w:tcW w:type="dxa" w:w="2592"/>
            <w:tcMar>
              <w:top w:w="80" w:type="dxa"/>
              <w:start w:w="120" w:type="dxa"/>
              <w:bottom w:w="80" w:type="dxa"/>
              <w:end w:w="120" w:type="dxa"/>
            </w:tcMar>
            <w:vAlign w:val="top"/>
          </w:tcPr>
          <w:p>
            <w:pPr>
              <w:spacing w:after="0"/>
            </w:pPr>
            <w:r>
              <w:rPr>
                <w:sz w:val="20"/>
              </w:rPr>
              <w:t>Standardize event names, make Rust apply/command results durable, and let runtime restore from authoritative events instead of frontend mirroring.</w:t>
            </w:r>
          </w:p>
        </w:tc>
        <w:tc>
          <w:tcPr>
            <w:tcW w:type="dxa" w:w="2088"/>
            <w:tcMar>
              <w:top w:w="80" w:type="dxa"/>
              <w:start w:w="120" w:type="dxa"/>
              <w:bottom w:w="80" w:type="dxa"/>
              <w:end w:w="120" w:type="dxa"/>
            </w:tcMar>
            <w:vAlign w:val="top"/>
          </w:tcPr>
          <w:p>
            <w:pPr>
              <w:spacing w:after="0"/>
            </w:pPr>
            <w:r>
              <w:rPr>
                <w:sz w:val="20"/>
              </w:rPr>
              <w:t>Crash/restart test reconstructs patch approval, apply state, command results, and verification state from persisted events.</w:t>
            </w:r>
          </w:p>
        </w:tc>
      </w:tr>
      <w:tr>
        <w:trPr>
          <w:cantSplit/>
        </w:trPr>
        <w:tc>
          <w:tcPr>
            <w:tcW w:type="dxa" w:w="648"/>
            <w:tcMar>
              <w:top w:w="80" w:type="dxa"/>
              <w:start w:w="120" w:type="dxa"/>
              <w:bottom w:w="80" w:type="dxa"/>
              <w:end w:w="120" w:type="dxa"/>
            </w:tcMar>
            <w:vAlign w:val="top"/>
          </w:tcPr>
          <w:p>
            <w:pPr>
              <w:spacing w:after="0"/>
            </w:pPr>
            <w:r>
              <w:rPr>
                <w:sz w:val="20"/>
              </w:rPr>
              <w:t>P0</w:t>
            </w:r>
          </w:p>
        </w:tc>
        <w:tc>
          <w:tcPr>
            <w:tcW w:type="dxa" w:w="2088"/>
            <w:tcMar>
              <w:top w:w="80" w:type="dxa"/>
              <w:start w:w="120" w:type="dxa"/>
              <w:bottom w:w="80" w:type="dxa"/>
              <w:end w:w="120" w:type="dxa"/>
            </w:tcMar>
            <w:vAlign w:val="top"/>
          </w:tcPr>
          <w:p>
            <w:pPr>
              <w:spacing w:after="0"/>
            </w:pPr>
            <w:r>
              <w:rPr>
                <w:sz w:val="20"/>
              </w:rPr>
              <w:t>[ ] Fix provider-unavailable recovery</w:t>
            </w:r>
          </w:p>
        </w:tc>
        <w:tc>
          <w:tcPr>
            <w:tcW w:type="dxa" w:w="1944"/>
            <w:tcMar>
              <w:top w:w="80" w:type="dxa"/>
              <w:start w:w="120" w:type="dxa"/>
              <w:bottom w:w="80" w:type="dxa"/>
              <w:end w:w="120" w:type="dxa"/>
            </w:tcMar>
            <w:vAlign w:val="top"/>
          </w:tcPr>
          <w:p>
            <w:pPr>
              <w:spacing w:after="0"/>
            </w:pPr>
            <w:r>
              <w:rPr>
                <w:sz w:val="20"/>
              </w:rPr>
              <w:t>Provider failure is honest but currently too brittle for deep project questions and tests.</w:t>
            </w:r>
          </w:p>
        </w:tc>
        <w:tc>
          <w:tcPr>
            <w:tcW w:type="dxa" w:w="2592"/>
            <w:tcMar>
              <w:top w:w="80" w:type="dxa"/>
              <w:start w:w="120" w:type="dxa"/>
              <w:bottom w:w="80" w:type="dxa"/>
              <w:end w:w="120" w:type="dxa"/>
            </w:tcMar>
            <w:vAlign w:val="top"/>
          </w:tcPr>
          <w:p>
            <w:pPr>
              <w:spacing w:after="0"/>
            </w:pPr>
            <w:r>
              <w:rPr>
                <w:sz w:val="20"/>
              </w:rPr>
              <w:t>Separate expected provider-failure tests from real-provider happy paths; add actionable configuration errors; add bounded provider-guided repair before final cannot-answer.</w:t>
            </w:r>
          </w:p>
        </w:tc>
        <w:tc>
          <w:tcPr>
            <w:tcW w:type="dxa" w:w="2088"/>
            <w:tcMar>
              <w:top w:w="80" w:type="dxa"/>
              <w:start w:w="120" w:type="dxa"/>
              <w:bottom w:w="80" w:type="dxa"/>
              <w:end w:w="120" w:type="dxa"/>
            </w:tcMar>
            <w:vAlign w:val="top"/>
          </w:tcPr>
          <w:p>
            <w:pPr>
              <w:spacing w:after="0"/>
            </w:pPr>
            <w:r>
              <w:rPr>
                <w:sz w:val="20"/>
              </w:rPr>
              <w:t>Provider outage produces a clear terminal state and no local answer; configured scripted provider tests pass.</w:t>
            </w:r>
          </w:p>
        </w:tc>
      </w:tr>
      <w:tr>
        <w:trPr>
          <w:cantSplit/>
        </w:trPr>
        <w:tc>
          <w:tcPr>
            <w:tcW w:type="dxa" w:w="648"/>
            <w:tcMar>
              <w:top w:w="80" w:type="dxa"/>
              <w:start w:w="120" w:type="dxa"/>
              <w:bottom w:w="80" w:type="dxa"/>
              <w:end w:w="120" w:type="dxa"/>
            </w:tcMar>
            <w:vAlign w:val="top"/>
          </w:tcPr>
          <w:p>
            <w:pPr>
              <w:spacing w:after="0"/>
            </w:pPr>
            <w:r>
              <w:rPr>
                <w:sz w:val="20"/>
              </w:rPr>
              <w:t>P0</w:t>
            </w:r>
          </w:p>
        </w:tc>
        <w:tc>
          <w:tcPr>
            <w:tcW w:type="dxa" w:w="2088"/>
            <w:tcMar>
              <w:top w:w="80" w:type="dxa"/>
              <w:start w:w="120" w:type="dxa"/>
              <w:bottom w:w="80" w:type="dxa"/>
              <w:end w:w="120" w:type="dxa"/>
            </w:tcMar>
            <w:vAlign w:val="top"/>
          </w:tcPr>
          <w:p>
            <w:pPr>
              <w:spacing w:after="0"/>
            </w:pPr>
            <w:r>
              <w:rPr>
                <w:sz w:val="20"/>
              </w:rPr>
              <w:t>[ ] Secure provider secret storage</w:t>
            </w:r>
          </w:p>
        </w:tc>
        <w:tc>
          <w:tcPr>
            <w:tcW w:type="dxa" w:w="1944"/>
            <w:tcMar>
              <w:top w:w="80" w:type="dxa"/>
              <w:start w:w="120" w:type="dxa"/>
              <w:bottom w:w="80" w:type="dxa"/>
              <w:end w:w="120" w:type="dxa"/>
            </w:tcMar>
            <w:vAlign w:val="top"/>
          </w:tcPr>
          <w:p>
            <w:pPr>
              <w:spacing w:after="0"/>
            </w:pPr>
            <w:r>
              <w:rPr>
                <w:sz w:val="20"/>
              </w:rPr>
              <w:t>OpenAI-compatible providers need real secret handling before broader use.</w:t>
            </w:r>
          </w:p>
        </w:tc>
        <w:tc>
          <w:tcPr>
            <w:tcW w:type="dxa" w:w="2592"/>
            <w:tcMar>
              <w:top w:w="80" w:type="dxa"/>
              <w:start w:w="120" w:type="dxa"/>
              <w:bottom w:w="80" w:type="dxa"/>
              <w:end w:w="120" w:type="dxa"/>
            </w:tcMar>
            <w:vAlign w:val="top"/>
          </w:tcPr>
          <w:p>
            <w:pPr>
              <w:spacing w:after="0"/>
            </w:pPr>
            <w:r>
              <w:rPr>
                <w:sz w:val="20"/>
              </w:rPr>
              <w:t>Add OS keychain or secure credential storage, avoid raw API key persistence, and show provider config health in UI.</w:t>
            </w:r>
          </w:p>
        </w:tc>
        <w:tc>
          <w:tcPr>
            <w:tcW w:type="dxa" w:w="2088"/>
            <w:tcMar>
              <w:top w:w="80" w:type="dxa"/>
              <w:start w:w="120" w:type="dxa"/>
              <w:bottom w:w="80" w:type="dxa"/>
              <w:end w:w="120" w:type="dxa"/>
            </w:tcMar>
            <w:vAlign w:val="top"/>
          </w:tcPr>
          <w:p>
            <w:pPr>
              <w:spacing w:after="0"/>
            </w:pPr>
            <w:r>
              <w:rPr>
                <w:sz w:val="20"/>
              </w:rPr>
              <w:t>Provider config can survive restart without exposing secrets and without marking cloud providers invalid only because secrets are absent.</w:t>
            </w:r>
          </w:p>
        </w:tc>
      </w:tr>
      <w:tr>
        <w:trPr>
          <w:cantSplit/>
        </w:trPr>
        <w:tc>
          <w:tcPr>
            <w:tcW w:type="dxa" w:w="648"/>
            <w:tcMar>
              <w:top w:w="80" w:type="dxa"/>
              <w:start w:w="120" w:type="dxa"/>
              <w:bottom w:w="80" w:type="dxa"/>
              <w:end w:w="120" w:type="dxa"/>
            </w:tcMar>
            <w:vAlign w:val="top"/>
          </w:tcPr>
          <w:p>
            <w:pPr>
              <w:spacing w:after="0"/>
            </w:pPr>
            <w:r>
              <w:rPr>
                <w:sz w:val="20"/>
              </w:rPr>
              <w:t>P0</w:t>
            </w:r>
          </w:p>
        </w:tc>
        <w:tc>
          <w:tcPr>
            <w:tcW w:type="dxa" w:w="2088"/>
            <w:tcMar>
              <w:top w:w="80" w:type="dxa"/>
              <w:start w:w="120" w:type="dxa"/>
              <w:bottom w:w="80" w:type="dxa"/>
              <w:end w:w="120" w:type="dxa"/>
            </w:tcMar>
            <w:vAlign w:val="top"/>
          </w:tcPr>
          <w:p>
            <w:pPr>
              <w:spacing w:after="0"/>
            </w:pPr>
            <w:r>
              <w:rPr>
                <w:sz w:val="20"/>
              </w:rPr>
              <w:t>[ ] Do not claim the 80% reasoning guarantee</w:t>
            </w:r>
          </w:p>
        </w:tc>
        <w:tc>
          <w:tcPr>
            <w:tcW w:type="dxa" w:w="1944"/>
            <w:tcMar>
              <w:top w:w="80" w:type="dxa"/>
              <w:start w:w="120" w:type="dxa"/>
              <w:bottom w:w="80" w:type="dxa"/>
              <w:end w:w="120" w:type="dxa"/>
            </w:tcMar>
            <w:vAlign w:val="top"/>
          </w:tcPr>
          <w:p>
            <w:pPr>
              <w:spacing w:after="0"/>
            </w:pPr>
            <w:r>
              <w:rPr>
                <w:sz w:val="20"/>
              </w:rPr>
              <w:t>Certification requires exact profile/gate evidence, not unit tests.</w:t>
            </w:r>
          </w:p>
        </w:tc>
        <w:tc>
          <w:tcPr>
            <w:tcW w:type="dxa" w:w="2592"/>
            <w:tcMar>
              <w:top w:w="80" w:type="dxa"/>
              <w:start w:w="120" w:type="dxa"/>
              <w:bottom w:w="80" w:type="dxa"/>
              <w:end w:w="120" w:type="dxa"/>
            </w:tcMar>
            <w:vAlign w:val="top"/>
          </w:tcPr>
          <w:p>
            <w:pPr>
              <w:spacing w:after="0"/>
            </w:pPr>
            <w:r>
              <w:rPr>
                <w:sz w:val="20"/>
              </w:rPr>
              <w:t>Create sealed read and action holdout corpora, run eval:adaptive-reasoning, register only passing reports.</w:t>
            </w:r>
          </w:p>
        </w:tc>
        <w:tc>
          <w:tcPr>
            <w:tcW w:type="dxa" w:w="2088"/>
            <w:tcMar>
              <w:top w:w="80" w:type="dxa"/>
              <w:start w:w="120" w:type="dxa"/>
              <w:bottom w:w="80" w:type="dxa"/>
              <w:end w:w="120" w:type="dxa"/>
            </w:tcMar>
            <w:vAlign w:val="top"/>
          </w:tcPr>
          <w:p>
            <w:pPr>
              <w:spacing w:after="0"/>
            </w:pPr>
            <w:r>
              <w:rPr>
                <w:sz w:val="20"/>
              </w:rPr>
              <w:t>Certification registry contains a valid passing report for the exact model profile and gate.</w:t>
            </w:r>
          </w:p>
        </w:tc>
      </w:tr>
    </w:tbl>
    <w:p/>
    <w:p>
      <w:pPr>
        <w:pStyle w:val="Heading2"/>
      </w:pPr>
      <w:r>
        <w:t>P1: Codex-Parity Product Work</w:t>
      </w:r>
    </w:p>
    <w:tbl>
      <w:tblPr>
        <w:tblStyle w:val="TableGrid"/>
        <w:tblW w:type="dxa" w:w="9360"/>
        <w:jc w:val="center"/>
        <w:tblLayout w:type="fixed"/>
        <w:tblLook w:firstColumn="1" w:firstRow="1" w:lastColumn="0" w:lastRow="0" w:noHBand="0" w:noVBand="1" w:val="04A0"/>
      </w:tblPr>
      <w:tblGrid>
        <w:gridCol w:w="648"/>
        <w:gridCol w:w="2088"/>
        <w:gridCol w:w="1944"/>
        <w:gridCol w:w="2592"/>
        <w:gridCol w:w="2088"/>
      </w:tblGrid>
      <w:tr>
        <w:trPr>
          <w:tblHeader w:val="true"/>
          <w:cantSplit/>
        </w:trPr>
        <w:tc>
          <w:tcPr>
            <w:tcW w:type="dxa" w:w="648"/>
            <w:vAlign w:val="top"/>
            <w:tcMar>
              <w:top w:w="80" w:type="dxa"/>
              <w:start w:w="120" w:type="dxa"/>
              <w:bottom w:w="80" w:type="dxa"/>
              <w:end w:w="120" w:type="dxa"/>
            </w:tcMar>
            <w:shd w:fill="E8EEF5"/>
          </w:tcPr>
          <w:p>
            <w:pPr>
              <w:spacing w:after="0"/>
            </w:pPr>
            <w:r>
              <w:rPr>
                <w:b/>
                <w:color w:val="0B2545"/>
                <w:sz w:val="20"/>
              </w:rPr>
              <w:t>Pri.</w:t>
            </w:r>
          </w:p>
        </w:tc>
        <w:tc>
          <w:tcPr>
            <w:tcW w:type="dxa" w:w="2088"/>
            <w:vAlign w:val="top"/>
            <w:tcMar>
              <w:top w:w="80" w:type="dxa"/>
              <w:start w:w="120" w:type="dxa"/>
              <w:bottom w:w="80" w:type="dxa"/>
              <w:end w:w="120" w:type="dxa"/>
            </w:tcMar>
            <w:shd w:fill="E8EEF5"/>
          </w:tcPr>
          <w:p>
            <w:pPr>
              <w:spacing w:after="0"/>
            </w:pPr>
            <w:r>
              <w:rPr>
                <w:b/>
                <w:color w:val="0B2545"/>
                <w:sz w:val="20"/>
              </w:rPr>
              <w:t>Modification</w:t>
            </w:r>
          </w:p>
        </w:tc>
        <w:tc>
          <w:tcPr>
            <w:tcW w:type="dxa" w:w="1944"/>
            <w:vAlign w:val="top"/>
            <w:tcMar>
              <w:top w:w="80" w:type="dxa"/>
              <w:start w:w="120" w:type="dxa"/>
              <w:bottom w:w="80" w:type="dxa"/>
              <w:end w:w="120" w:type="dxa"/>
            </w:tcMar>
            <w:shd w:fill="E8EEF5"/>
          </w:tcPr>
          <w:p>
            <w:pPr>
              <w:spacing w:after="0"/>
            </w:pPr>
            <w:r>
              <w:rPr>
                <w:b/>
                <w:color w:val="0B2545"/>
                <w:sz w:val="20"/>
              </w:rPr>
              <w:t>Reason</w:t>
            </w:r>
          </w:p>
        </w:tc>
        <w:tc>
          <w:tcPr>
            <w:tcW w:type="dxa" w:w="2592"/>
            <w:vAlign w:val="top"/>
            <w:tcMar>
              <w:top w:w="80" w:type="dxa"/>
              <w:start w:w="120" w:type="dxa"/>
              <w:bottom w:w="80" w:type="dxa"/>
              <w:end w:w="120" w:type="dxa"/>
            </w:tcMar>
            <w:shd w:fill="E8EEF5"/>
          </w:tcPr>
          <w:p>
            <w:pPr>
              <w:spacing w:after="0"/>
            </w:pPr>
            <w:r>
              <w:rPr>
                <w:b/>
                <w:color w:val="0B2545"/>
                <w:sz w:val="20"/>
              </w:rPr>
              <w:t>Work</w:t>
            </w:r>
          </w:p>
        </w:tc>
        <w:tc>
          <w:tcPr>
            <w:tcW w:type="dxa" w:w="2088"/>
            <w:vAlign w:val="top"/>
            <w:tcMar>
              <w:top w:w="80" w:type="dxa"/>
              <w:start w:w="120" w:type="dxa"/>
              <w:bottom w:w="80" w:type="dxa"/>
              <w:end w:w="120" w:type="dxa"/>
            </w:tcMar>
            <w:shd w:fill="E8EEF5"/>
          </w:tcPr>
          <w:p>
            <w:pPr>
              <w:spacing w:after="0"/>
            </w:pPr>
            <w:r>
              <w:rPr>
                <w:b/>
                <w:color w:val="0B2545"/>
                <w:sz w:val="20"/>
              </w:rPr>
              <w:t>Done when</w:t>
            </w:r>
          </w:p>
        </w:tc>
      </w:tr>
      <w:tr>
        <w:trPr>
          <w:cantSplit/>
        </w:trPr>
        <w:tc>
          <w:tcPr>
            <w:tcW w:type="dxa" w:w="648"/>
            <w:tcMar>
              <w:top w:w="80" w:type="dxa"/>
              <w:start w:w="120" w:type="dxa"/>
              <w:bottom w:w="80" w:type="dxa"/>
              <w:end w:w="120" w:type="dxa"/>
            </w:tcMar>
            <w:vAlign w:val="top"/>
          </w:tcPr>
          <w:p>
            <w:pPr>
              <w:spacing w:after="0"/>
            </w:pPr>
            <w:r>
              <w:rPr>
                <w:sz w:val="20"/>
              </w:rPr>
              <w:t>P1</w:t>
            </w:r>
          </w:p>
        </w:tc>
        <w:tc>
          <w:tcPr>
            <w:tcW w:type="dxa" w:w="2088"/>
            <w:tcMar>
              <w:top w:w="80" w:type="dxa"/>
              <w:start w:w="120" w:type="dxa"/>
              <w:bottom w:w="80" w:type="dxa"/>
              <w:end w:w="120" w:type="dxa"/>
            </w:tcMar>
            <w:vAlign w:val="top"/>
          </w:tcPr>
          <w:p>
            <w:pPr>
              <w:spacing w:after="0"/>
            </w:pPr>
            <w:r>
              <w:rPr>
                <w:sz w:val="20"/>
              </w:rPr>
              <w:t>[ ] Build a true ProjectUnderstandingKernel</w:t>
            </w:r>
          </w:p>
        </w:tc>
        <w:tc>
          <w:tcPr>
            <w:tcW w:type="dxa" w:w="1944"/>
            <w:tcMar>
              <w:top w:w="80" w:type="dxa"/>
              <w:start w:w="120" w:type="dxa"/>
              <w:bottom w:w="80" w:type="dxa"/>
              <w:end w:w="120" w:type="dxa"/>
            </w:tcMar>
            <w:vAlign w:val="top"/>
          </w:tcPr>
          <w:p>
            <w:pPr>
              <w:spacing w:after="0"/>
            </w:pPr>
            <w:r>
              <w:rPr>
                <w:sz w:val="20"/>
              </w:rPr>
              <w:t>Deep project questions still need relationship-aware understanding, not selected-snippet drafting.</w:t>
            </w:r>
          </w:p>
        </w:tc>
        <w:tc>
          <w:tcPr>
            <w:tcW w:type="dxa" w:w="2592"/>
            <w:tcMar>
              <w:top w:w="80" w:type="dxa"/>
              <w:start w:w="120" w:type="dxa"/>
              <w:bottom w:w="80" w:type="dxa"/>
              <w:end w:w="120" w:type="dxa"/>
            </w:tcMar>
            <w:vAlign w:val="top"/>
          </w:tcPr>
          <w:p>
            <w:pPr>
              <w:spacing w:after="0"/>
            </w:pPr>
            <w:r>
              <w:rPr>
                <w:sz w:val="20"/>
              </w:rPr>
              <w:t>Implement provider decomposition, graph expansion, claim ledger, evidence validation, and validation-as-repair.</w:t>
            </w:r>
          </w:p>
        </w:tc>
        <w:tc>
          <w:tcPr>
            <w:tcW w:type="dxa" w:w="2088"/>
            <w:tcMar>
              <w:top w:w="80" w:type="dxa"/>
              <w:start w:w="120" w:type="dxa"/>
              <w:bottom w:w="80" w:type="dxa"/>
              <w:end w:w="120" w:type="dxa"/>
            </w:tcMar>
            <w:vAlign w:val="top"/>
          </w:tcPr>
          <w:p>
            <w:pPr>
              <w:spacing w:after="0"/>
            </w:pPr>
            <w:r>
              <w:rPr>
                <w:sz w:val="20"/>
              </w:rPr>
              <w:t>Novel cross-file questions answer with current citations or explicit unknowns after bounded repair.</w:t>
            </w:r>
          </w:p>
        </w:tc>
      </w:tr>
      <w:tr>
        <w:trPr>
          <w:cantSplit/>
        </w:trPr>
        <w:tc>
          <w:tcPr>
            <w:tcW w:type="dxa" w:w="648"/>
            <w:tcMar>
              <w:top w:w="80" w:type="dxa"/>
              <w:start w:w="120" w:type="dxa"/>
              <w:bottom w:w="80" w:type="dxa"/>
              <w:end w:w="120" w:type="dxa"/>
            </w:tcMar>
            <w:vAlign w:val="top"/>
          </w:tcPr>
          <w:p>
            <w:pPr>
              <w:spacing w:after="0"/>
            </w:pPr>
            <w:r>
              <w:rPr>
                <w:sz w:val="20"/>
              </w:rPr>
              <w:t>P1</w:t>
            </w:r>
          </w:p>
        </w:tc>
        <w:tc>
          <w:tcPr>
            <w:tcW w:type="dxa" w:w="2088"/>
            <w:tcMar>
              <w:top w:w="80" w:type="dxa"/>
              <w:start w:w="120" w:type="dxa"/>
              <w:bottom w:w="80" w:type="dxa"/>
              <w:end w:w="120" w:type="dxa"/>
            </w:tcMar>
            <w:vAlign w:val="top"/>
          </w:tcPr>
          <w:p>
            <w:pPr>
              <w:spacing w:after="0"/>
            </w:pPr>
            <w:r>
              <w:rPr>
                <w:sz w:val="20"/>
              </w:rPr>
              <w:t>[ ] Replace heuristic command safety with structured policy</w:t>
            </w:r>
          </w:p>
        </w:tc>
        <w:tc>
          <w:tcPr>
            <w:tcW w:type="dxa" w:w="1944"/>
            <w:tcMar>
              <w:top w:w="80" w:type="dxa"/>
              <w:start w:w="120" w:type="dxa"/>
              <w:bottom w:w="80" w:type="dxa"/>
              <w:end w:w="120" w:type="dxa"/>
            </w:tcMar>
            <w:vAlign w:val="top"/>
          </w:tcPr>
          <w:p>
            <w:pPr>
              <w:spacing w:after="0"/>
            </w:pPr>
            <w:r>
              <w:rPr>
                <w:sz w:val="20"/>
              </w:rPr>
              <w:t>Heuristics are useful but not sandbox-grade.</w:t>
            </w:r>
          </w:p>
        </w:tc>
        <w:tc>
          <w:tcPr>
            <w:tcW w:type="dxa" w:w="2592"/>
            <w:tcMar>
              <w:top w:w="80" w:type="dxa"/>
              <w:start w:w="120" w:type="dxa"/>
              <w:bottom w:w="80" w:type="dxa"/>
              <w:end w:w="120" w:type="dxa"/>
            </w:tcMar>
            <w:vAlign w:val="top"/>
          </w:tcPr>
          <w:p>
            <w:pPr>
              <w:spacing w:after="0"/>
            </w:pPr>
            <w:r>
              <w:rPr>
                <w:sz w:val="20"/>
              </w:rPr>
              <w:t>Design command DSL/allowlist, adversarial parser tests, approval provenance, and a process supervisor for background jobs.</w:t>
            </w:r>
          </w:p>
        </w:tc>
        <w:tc>
          <w:tcPr>
            <w:tcW w:type="dxa" w:w="2088"/>
            <w:tcMar>
              <w:top w:w="80" w:type="dxa"/>
              <w:start w:w="120" w:type="dxa"/>
              <w:bottom w:w="80" w:type="dxa"/>
              <w:end w:w="120" w:type="dxa"/>
            </w:tcMar>
            <w:vAlign w:val="top"/>
          </w:tcPr>
          <w:p>
            <w:pPr>
              <w:spacing w:after="0"/>
            </w:pPr>
            <w:r>
              <w:rPr>
                <w:sz w:val="20"/>
              </w:rPr>
              <w:t>Command tests cover shell indirection, wrappers, encoded/network behavior, background lifecycle, and cleanup.</w:t>
            </w:r>
          </w:p>
        </w:tc>
      </w:tr>
      <w:tr>
        <w:trPr>
          <w:cantSplit/>
        </w:trPr>
        <w:tc>
          <w:tcPr>
            <w:tcW w:type="dxa" w:w="648"/>
            <w:tcMar>
              <w:top w:w="80" w:type="dxa"/>
              <w:start w:w="120" w:type="dxa"/>
              <w:bottom w:w="80" w:type="dxa"/>
              <w:end w:w="120" w:type="dxa"/>
            </w:tcMar>
            <w:vAlign w:val="top"/>
          </w:tcPr>
          <w:p>
            <w:pPr>
              <w:spacing w:after="0"/>
            </w:pPr>
            <w:r>
              <w:rPr>
                <w:sz w:val="20"/>
              </w:rPr>
              <w:t>P1</w:t>
            </w:r>
          </w:p>
        </w:tc>
        <w:tc>
          <w:tcPr>
            <w:tcW w:type="dxa" w:w="2088"/>
            <w:tcMar>
              <w:top w:w="80" w:type="dxa"/>
              <w:start w:w="120" w:type="dxa"/>
              <w:bottom w:w="80" w:type="dxa"/>
              <w:end w:w="120" w:type="dxa"/>
            </w:tcMar>
            <w:vAlign w:val="top"/>
          </w:tcPr>
          <w:p>
            <w:pPr>
              <w:spacing w:after="0"/>
            </w:pPr>
            <w:r>
              <w:rPr>
                <w:sz w:val="20"/>
              </w:rPr>
              <w:t>[ ] Harden patch lifecycle end to end</w:t>
            </w:r>
          </w:p>
        </w:tc>
        <w:tc>
          <w:tcPr>
            <w:tcW w:type="dxa" w:w="1944"/>
            <w:tcMar>
              <w:top w:w="80" w:type="dxa"/>
              <w:start w:w="120" w:type="dxa"/>
              <w:bottom w:w="80" w:type="dxa"/>
              <w:end w:w="120" w:type="dxa"/>
            </w:tcMar>
            <w:vAlign w:val="top"/>
          </w:tcPr>
          <w:p>
            <w:pPr>
              <w:spacing w:after="0"/>
            </w:pPr>
            <w:r>
              <w:rPr>
                <w:sz w:val="20"/>
              </w:rPr>
              <w:t>Rust apply is strong, but completion and reconciliation still cross layers.</w:t>
            </w:r>
          </w:p>
        </w:tc>
        <w:tc>
          <w:tcPr>
            <w:tcW w:type="dxa" w:w="2592"/>
            <w:tcMar>
              <w:top w:w="80" w:type="dxa"/>
              <w:start w:w="120" w:type="dxa"/>
              <w:bottom w:w="80" w:type="dxa"/>
              <w:end w:w="120" w:type="dxa"/>
            </w:tcMar>
            <w:vAlign w:val="top"/>
          </w:tcPr>
          <w:p>
            <w:pPr>
              <w:spacing w:after="0"/>
            </w:pPr>
            <w:r>
              <w:rPr>
                <w:sz w:val="20"/>
              </w:rPr>
              <w:t>Make Rust-to-runtime completion durable, rerun validation through Rust, and reconcile after reconnect.</w:t>
            </w:r>
          </w:p>
        </w:tc>
        <w:tc>
          <w:tcPr>
            <w:tcW w:type="dxa" w:w="2088"/>
            <w:tcMar>
              <w:top w:w="80" w:type="dxa"/>
              <w:start w:w="120" w:type="dxa"/>
              <w:bottom w:w="80" w:type="dxa"/>
              <w:end w:w="120" w:type="dxa"/>
            </w:tcMar>
            <w:vAlign w:val="top"/>
          </w:tcPr>
          <w:p>
            <w:pPr>
              <w:spacing w:after="0"/>
            </w:pPr>
            <w:r>
              <w:rPr>
                <w:sz w:val="20"/>
              </w:rPr>
              <w:t>E2E test covers propose -&gt; approve -&gt; Rust apply -&gt; validate -&gt; final verified report, plus frontend crash after apply.</w:t>
            </w:r>
          </w:p>
        </w:tc>
      </w:tr>
      <w:tr>
        <w:trPr>
          <w:cantSplit/>
        </w:trPr>
        <w:tc>
          <w:tcPr>
            <w:tcW w:type="dxa" w:w="648"/>
            <w:tcMar>
              <w:top w:w="80" w:type="dxa"/>
              <w:start w:w="120" w:type="dxa"/>
              <w:bottom w:w="80" w:type="dxa"/>
              <w:end w:w="120" w:type="dxa"/>
            </w:tcMar>
            <w:vAlign w:val="top"/>
          </w:tcPr>
          <w:p>
            <w:pPr>
              <w:spacing w:after="0"/>
            </w:pPr>
            <w:r>
              <w:rPr>
                <w:sz w:val="20"/>
              </w:rPr>
              <w:t>P1</w:t>
            </w:r>
          </w:p>
        </w:tc>
        <w:tc>
          <w:tcPr>
            <w:tcW w:type="dxa" w:w="2088"/>
            <w:tcMar>
              <w:top w:w="80" w:type="dxa"/>
              <w:start w:w="120" w:type="dxa"/>
              <w:bottom w:w="80" w:type="dxa"/>
              <w:end w:w="120" w:type="dxa"/>
            </w:tcMar>
            <w:vAlign w:val="top"/>
          </w:tcPr>
          <w:p>
            <w:pPr>
              <w:spacing w:after="0"/>
            </w:pPr>
            <w:r>
              <w:rPr>
                <w:sz w:val="20"/>
              </w:rPr>
              <w:t>[ ] Productize skills and reusable workflows</w:t>
            </w:r>
          </w:p>
        </w:tc>
        <w:tc>
          <w:tcPr>
            <w:tcW w:type="dxa" w:w="1944"/>
            <w:tcMar>
              <w:top w:w="80" w:type="dxa"/>
              <w:start w:w="120" w:type="dxa"/>
              <w:bottom w:w="80" w:type="dxa"/>
              <w:end w:w="120" w:type="dxa"/>
            </w:tcMar>
            <w:vAlign w:val="top"/>
          </w:tcPr>
          <w:p>
            <w:pPr>
              <w:spacing w:after="0"/>
            </w:pPr>
            <w:r>
              <w:rPr>
                <w:sz w:val="20"/>
              </w:rPr>
              <w:t>Codex gains reliability from skills; Hivo currently relies on repo-specific architecture.</w:t>
            </w:r>
          </w:p>
        </w:tc>
        <w:tc>
          <w:tcPr>
            <w:tcW w:type="dxa" w:w="2592"/>
            <w:tcMar>
              <w:top w:w="80" w:type="dxa"/>
              <w:start w:w="120" w:type="dxa"/>
              <w:bottom w:w="80" w:type="dxa"/>
              <w:end w:w="120" w:type="dxa"/>
            </w:tcMar>
            <w:vAlign w:val="top"/>
          </w:tcPr>
          <w:p>
            <w:pPr>
              <w:spacing w:after="0"/>
            </w:pPr>
            <w:r>
              <w:rPr>
                <w:sz w:val="20"/>
              </w:rPr>
              <w:t>Define Hivo skill format or adapt existing Agent Skills, loader, trigger rules, references, and script execution safety.</w:t>
            </w:r>
          </w:p>
        </w:tc>
        <w:tc>
          <w:tcPr>
            <w:tcW w:type="dxa" w:w="2088"/>
            <w:tcMar>
              <w:top w:w="80" w:type="dxa"/>
              <w:start w:w="120" w:type="dxa"/>
              <w:bottom w:w="80" w:type="dxa"/>
              <w:end w:w="120" w:type="dxa"/>
            </w:tcMar>
            <w:vAlign w:val="top"/>
          </w:tcPr>
          <w:p>
            <w:pPr>
              <w:spacing w:after="0"/>
            </w:pPr>
            <w:r>
              <w:rPr>
                <w:sz w:val="20"/>
              </w:rPr>
              <w:t>A skill can be installed, selected, read progressively, and used in a run with an auditable trace.</w:t>
            </w:r>
          </w:p>
        </w:tc>
      </w:tr>
      <w:tr>
        <w:trPr>
          <w:cantSplit/>
        </w:trPr>
        <w:tc>
          <w:tcPr>
            <w:tcW w:type="dxa" w:w="648"/>
            <w:tcMar>
              <w:top w:w="80" w:type="dxa"/>
              <w:start w:w="120" w:type="dxa"/>
              <w:bottom w:w="80" w:type="dxa"/>
              <w:end w:w="120" w:type="dxa"/>
            </w:tcMar>
            <w:vAlign w:val="top"/>
          </w:tcPr>
          <w:p>
            <w:pPr>
              <w:spacing w:after="0"/>
            </w:pPr>
            <w:r>
              <w:rPr>
                <w:sz w:val="20"/>
              </w:rPr>
              <w:t>P1</w:t>
            </w:r>
          </w:p>
        </w:tc>
        <w:tc>
          <w:tcPr>
            <w:tcW w:type="dxa" w:w="2088"/>
            <w:tcMar>
              <w:top w:w="80" w:type="dxa"/>
              <w:start w:w="120" w:type="dxa"/>
              <w:bottom w:w="80" w:type="dxa"/>
              <w:end w:w="120" w:type="dxa"/>
            </w:tcMar>
            <w:vAlign w:val="top"/>
          </w:tcPr>
          <w:p>
            <w:pPr>
              <w:spacing w:after="0"/>
            </w:pPr>
            <w:r>
              <w:rPr>
                <w:sz w:val="20"/>
              </w:rPr>
              <w:t>[ ] Add MCP integration</w:t>
            </w:r>
          </w:p>
        </w:tc>
        <w:tc>
          <w:tcPr>
            <w:tcW w:type="dxa" w:w="1944"/>
            <w:tcMar>
              <w:top w:w="80" w:type="dxa"/>
              <w:start w:w="120" w:type="dxa"/>
              <w:bottom w:w="80" w:type="dxa"/>
              <w:end w:w="120" w:type="dxa"/>
            </w:tcMar>
            <w:vAlign w:val="top"/>
          </w:tcPr>
          <w:p>
            <w:pPr>
              <w:spacing w:after="0"/>
            </w:pPr>
            <w:r>
              <w:rPr>
                <w:sz w:val="20"/>
              </w:rPr>
              <w:t>Codex uses MCP for external tools/context; Hivo lacks equivalent connector infrastructure.</w:t>
            </w:r>
          </w:p>
        </w:tc>
        <w:tc>
          <w:tcPr>
            <w:tcW w:type="dxa" w:w="2592"/>
            <w:tcMar>
              <w:top w:w="80" w:type="dxa"/>
              <w:start w:w="120" w:type="dxa"/>
              <w:bottom w:w="80" w:type="dxa"/>
              <w:end w:w="120" w:type="dxa"/>
            </w:tcMar>
            <w:vAlign w:val="top"/>
          </w:tcPr>
          <w:p>
            <w:pPr>
              <w:spacing w:after="0"/>
            </w:pPr>
            <w:r>
              <w:rPr>
                <w:sz w:val="20"/>
              </w:rPr>
              <w:t>Add MCP server config, auth model, tool allowlists, trace logging, and UI for tool availability.</w:t>
            </w:r>
          </w:p>
        </w:tc>
        <w:tc>
          <w:tcPr>
            <w:tcW w:type="dxa" w:w="2088"/>
            <w:tcMar>
              <w:top w:w="80" w:type="dxa"/>
              <w:start w:w="120" w:type="dxa"/>
              <w:bottom w:w="80" w:type="dxa"/>
              <w:end w:w="120" w:type="dxa"/>
            </w:tcMar>
            <w:vAlign w:val="top"/>
          </w:tcPr>
          <w:p>
            <w:pPr>
              <w:spacing w:after="0"/>
            </w:pPr>
            <w:r>
              <w:rPr>
                <w:sz w:val="20"/>
              </w:rPr>
              <w:t>A read-only docs MCP and one local tool MCP can be configured and used with audit logs.</w:t>
            </w:r>
          </w:p>
        </w:tc>
      </w:tr>
      <w:tr>
        <w:trPr>
          <w:cantSplit/>
        </w:trPr>
        <w:tc>
          <w:tcPr>
            <w:tcW w:type="dxa" w:w="648"/>
            <w:tcMar>
              <w:top w:w="80" w:type="dxa"/>
              <w:start w:w="120" w:type="dxa"/>
              <w:bottom w:w="80" w:type="dxa"/>
              <w:end w:w="120" w:type="dxa"/>
            </w:tcMar>
            <w:vAlign w:val="top"/>
          </w:tcPr>
          <w:p>
            <w:pPr>
              <w:spacing w:after="0"/>
            </w:pPr>
            <w:r>
              <w:rPr>
                <w:sz w:val="20"/>
              </w:rPr>
              <w:t>P1</w:t>
            </w:r>
          </w:p>
        </w:tc>
        <w:tc>
          <w:tcPr>
            <w:tcW w:type="dxa" w:w="2088"/>
            <w:tcMar>
              <w:top w:w="80" w:type="dxa"/>
              <w:start w:w="120" w:type="dxa"/>
              <w:bottom w:w="80" w:type="dxa"/>
              <w:end w:w="120" w:type="dxa"/>
            </w:tcMar>
            <w:vAlign w:val="top"/>
          </w:tcPr>
          <w:p>
            <w:pPr>
              <w:spacing w:after="0"/>
            </w:pPr>
            <w:r>
              <w:rPr>
                <w:sz w:val="20"/>
              </w:rPr>
              <w:t>[ ] Add worktree isolation</w:t>
            </w:r>
          </w:p>
        </w:tc>
        <w:tc>
          <w:tcPr>
            <w:tcW w:type="dxa" w:w="1944"/>
            <w:tcMar>
              <w:top w:w="80" w:type="dxa"/>
              <w:start w:w="120" w:type="dxa"/>
              <w:bottom w:w="80" w:type="dxa"/>
              <w:end w:w="120" w:type="dxa"/>
            </w:tcMar>
            <w:vAlign w:val="top"/>
          </w:tcPr>
          <w:p>
            <w:pPr>
              <w:spacing w:after="0"/>
            </w:pPr>
            <w:r>
              <w:rPr>
                <w:sz w:val="20"/>
              </w:rPr>
              <w:t>Codex app supports worktrees for isolated changes; Hivo needs safer parallel execution.</w:t>
            </w:r>
          </w:p>
        </w:tc>
        <w:tc>
          <w:tcPr>
            <w:tcW w:type="dxa" w:w="2592"/>
            <w:tcMar>
              <w:top w:w="80" w:type="dxa"/>
              <w:start w:w="120" w:type="dxa"/>
              <w:bottom w:w="80" w:type="dxa"/>
              <w:end w:w="120" w:type="dxa"/>
            </w:tcMar>
            <w:vAlign w:val="top"/>
          </w:tcPr>
          <w:p>
            <w:pPr>
              <w:spacing w:after="0"/>
            </w:pPr>
            <w:r>
              <w:rPr>
                <w:sz w:val="20"/>
              </w:rPr>
              <w:t>Implement branch/worktree creation, per-thread workspace roots, cleanup, and merge/review workflow.</w:t>
            </w:r>
          </w:p>
        </w:tc>
        <w:tc>
          <w:tcPr>
            <w:tcW w:type="dxa" w:w="2088"/>
            <w:tcMar>
              <w:top w:w="80" w:type="dxa"/>
              <w:start w:w="120" w:type="dxa"/>
              <w:bottom w:w="80" w:type="dxa"/>
              <w:end w:w="120" w:type="dxa"/>
            </w:tcMar>
            <w:vAlign w:val="top"/>
          </w:tcPr>
          <w:p>
            <w:pPr>
              <w:spacing w:after="0"/>
            </w:pPr>
            <w:r>
              <w:rPr>
                <w:sz w:val="20"/>
              </w:rPr>
              <w:t>Two independent tasks can run in separate worktrees without modifying the base workspace.</w:t>
            </w:r>
          </w:p>
        </w:tc>
      </w:tr>
      <w:tr>
        <w:trPr>
          <w:cantSplit/>
        </w:trPr>
        <w:tc>
          <w:tcPr>
            <w:tcW w:type="dxa" w:w="648"/>
            <w:tcMar>
              <w:top w:w="80" w:type="dxa"/>
              <w:start w:w="120" w:type="dxa"/>
              <w:bottom w:w="80" w:type="dxa"/>
              <w:end w:w="120" w:type="dxa"/>
            </w:tcMar>
            <w:vAlign w:val="top"/>
          </w:tcPr>
          <w:p>
            <w:pPr>
              <w:spacing w:after="0"/>
            </w:pPr>
            <w:r>
              <w:rPr>
                <w:sz w:val="20"/>
              </w:rPr>
              <w:t>P1</w:t>
            </w:r>
          </w:p>
        </w:tc>
        <w:tc>
          <w:tcPr>
            <w:tcW w:type="dxa" w:w="2088"/>
            <w:tcMar>
              <w:top w:w="80" w:type="dxa"/>
              <w:start w:w="120" w:type="dxa"/>
              <w:bottom w:w="80" w:type="dxa"/>
              <w:end w:w="120" w:type="dxa"/>
            </w:tcMar>
            <w:vAlign w:val="top"/>
          </w:tcPr>
          <w:p>
            <w:pPr>
              <w:spacing w:after="0"/>
            </w:pPr>
            <w:r>
              <w:rPr>
                <w:sz w:val="20"/>
              </w:rPr>
              <w:t>[ ] Make provider-backed swarm production-safe</w:t>
            </w:r>
          </w:p>
        </w:tc>
        <w:tc>
          <w:tcPr>
            <w:tcW w:type="dxa" w:w="1944"/>
            <w:tcMar>
              <w:top w:w="80" w:type="dxa"/>
              <w:start w:w="120" w:type="dxa"/>
              <w:bottom w:w="80" w:type="dxa"/>
              <w:end w:w="120" w:type="dxa"/>
            </w:tcMar>
            <w:vAlign w:val="top"/>
          </w:tcPr>
          <w:p>
            <w:pPr>
              <w:spacing w:after="0"/>
            </w:pPr>
            <w:r>
              <w:rPr>
                <w:sz w:val="20"/>
              </w:rPr>
              <w:t>Internal swarm has strong architecture but still includes mock/test-oriented paths.</w:t>
            </w:r>
          </w:p>
        </w:tc>
        <w:tc>
          <w:tcPr>
            <w:tcW w:type="dxa" w:w="2592"/>
            <w:tcMar>
              <w:top w:w="80" w:type="dxa"/>
              <w:start w:w="120" w:type="dxa"/>
              <w:bottom w:w="80" w:type="dxa"/>
              <w:end w:w="120" w:type="dxa"/>
            </w:tcMar>
            <w:vAlign w:val="top"/>
          </w:tcPr>
          <w:p>
            <w:pPr>
              <w:spacing w:after="0"/>
            </w:pPr>
            <w:r>
              <w:rPr>
                <w:sz w:val="20"/>
              </w:rPr>
              <w:t>Require provider-backed read-only workers for real runs, remove auto mock fallback, durably track leases/retries/conflicts.</w:t>
            </w:r>
          </w:p>
        </w:tc>
        <w:tc>
          <w:tcPr>
            <w:tcW w:type="dxa" w:w="2088"/>
            <w:tcMar>
              <w:top w:w="80" w:type="dxa"/>
              <w:start w:w="120" w:type="dxa"/>
              <w:bottom w:w="80" w:type="dxa"/>
              <w:end w:w="120" w:type="dxa"/>
            </w:tcMar>
            <w:vAlign w:val="top"/>
          </w:tcPr>
          <w:p>
            <w:pPr>
              <w:spacing w:after="0"/>
            </w:pPr>
            <w:r>
              <w:rPr>
                <w:sz w:val="20"/>
              </w:rPr>
              <w:t>A broad read-only scan completes with provider-backed workers, executor cap 0, and reviewed evidence inventory.</w:t>
            </w:r>
          </w:p>
        </w:tc>
      </w:tr>
      <w:tr>
        <w:trPr>
          <w:cantSplit/>
        </w:trPr>
        <w:tc>
          <w:tcPr>
            <w:tcW w:type="dxa" w:w="648"/>
            <w:tcMar>
              <w:top w:w="80" w:type="dxa"/>
              <w:start w:w="120" w:type="dxa"/>
              <w:bottom w:w="80" w:type="dxa"/>
              <w:end w:w="120" w:type="dxa"/>
            </w:tcMar>
            <w:vAlign w:val="top"/>
          </w:tcPr>
          <w:p>
            <w:pPr>
              <w:spacing w:after="0"/>
            </w:pPr>
            <w:r>
              <w:rPr>
                <w:sz w:val="20"/>
              </w:rPr>
              <w:t>P1</w:t>
            </w:r>
          </w:p>
        </w:tc>
        <w:tc>
          <w:tcPr>
            <w:tcW w:type="dxa" w:w="2088"/>
            <w:tcMar>
              <w:top w:w="80" w:type="dxa"/>
              <w:start w:w="120" w:type="dxa"/>
              <w:bottom w:w="80" w:type="dxa"/>
              <w:end w:w="120" w:type="dxa"/>
            </w:tcMar>
            <w:vAlign w:val="top"/>
          </w:tcPr>
          <w:p>
            <w:pPr>
              <w:spacing w:after="0"/>
            </w:pPr>
            <w:r>
              <w:rPr>
                <w:sz w:val="20"/>
              </w:rPr>
              <w:t>[ ] Redesign operator UX around trust states</w:t>
            </w:r>
          </w:p>
        </w:tc>
        <w:tc>
          <w:tcPr>
            <w:tcW w:type="dxa" w:w="1944"/>
            <w:tcMar>
              <w:top w:w="80" w:type="dxa"/>
              <w:start w:w="120" w:type="dxa"/>
              <w:bottom w:w="80" w:type="dxa"/>
              <w:end w:w="120" w:type="dxa"/>
            </w:tcMar>
            <w:vAlign w:val="top"/>
          </w:tcPr>
          <w:p>
            <w:pPr>
              <w:spacing w:after="0"/>
            </w:pPr>
            <w:r>
              <w:rPr>
                <w:sz w:val="20"/>
              </w:rPr>
              <w:t>The UI must show exactly what is proposed, approved, applied, verified, failed, or unrecoverable.</w:t>
            </w:r>
          </w:p>
        </w:tc>
        <w:tc>
          <w:tcPr>
            <w:tcW w:type="dxa" w:w="2592"/>
            <w:tcMar>
              <w:top w:w="80" w:type="dxa"/>
              <w:start w:w="120" w:type="dxa"/>
              <w:bottom w:w="80" w:type="dxa"/>
              <w:end w:w="120" w:type="dxa"/>
            </w:tcMar>
            <w:vAlign w:val="top"/>
          </w:tcPr>
          <w:p>
            <w:pPr>
              <w:spacing w:after="0"/>
            </w:pPr>
            <w:r>
              <w:rPr>
                <w:sz w:val="20"/>
              </w:rPr>
              <w:t>Replace decorative typography, refine access labels, elevate lifecycle banner, and make restore/apply/verification status explicit.</w:t>
            </w:r>
          </w:p>
        </w:tc>
        <w:tc>
          <w:tcPr>
            <w:tcW w:type="dxa" w:w="2088"/>
            <w:tcMar>
              <w:top w:w="80" w:type="dxa"/>
              <w:start w:w="120" w:type="dxa"/>
              <w:bottom w:w="80" w:type="dxa"/>
              <w:end w:w="120" w:type="dxa"/>
            </w:tcMar>
            <w:vAlign w:val="top"/>
          </w:tcPr>
          <w:p>
            <w:pPr>
              <w:spacing w:after="0"/>
            </w:pPr>
            <w:r>
              <w:rPr>
                <w:sz w:val="20"/>
              </w:rPr>
              <w:t>User can identify next safe action within 5 seconds in manual QA scenarios.</w:t>
            </w:r>
          </w:p>
        </w:tc>
      </w:tr>
    </w:tbl>
    <w:p/>
    <w:p>
      <w:pPr>
        <w:pStyle w:val="Heading2"/>
      </w:pPr>
      <w:r>
        <w:t>P2: Scale, Polish, And Adoption</w:t>
      </w:r>
    </w:p>
    <w:tbl>
      <w:tblPr>
        <w:tblStyle w:val="TableGrid"/>
        <w:tblW w:type="dxa" w:w="9360"/>
        <w:jc w:val="center"/>
        <w:tblLayout w:type="fixed"/>
        <w:tblLook w:firstColumn="1" w:firstRow="1" w:lastColumn="0" w:lastRow="0" w:noHBand="0" w:noVBand="1" w:val="04A0"/>
      </w:tblPr>
      <w:tblGrid>
        <w:gridCol w:w="648"/>
        <w:gridCol w:w="2088"/>
        <w:gridCol w:w="1944"/>
        <w:gridCol w:w="2592"/>
        <w:gridCol w:w="2088"/>
      </w:tblGrid>
      <w:tr>
        <w:trPr>
          <w:tblHeader w:val="true"/>
          <w:cantSplit/>
        </w:trPr>
        <w:tc>
          <w:tcPr>
            <w:tcW w:type="dxa" w:w="648"/>
            <w:vAlign w:val="top"/>
            <w:tcMar>
              <w:top w:w="80" w:type="dxa"/>
              <w:start w:w="120" w:type="dxa"/>
              <w:bottom w:w="80" w:type="dxa"/>
              <w:end w:w="120" w:type="dxa"/>
            </w:tcMar>
            <w:shd w:fill="E8EEF5"/>
          </w:tcPr>
          <w:p>
            <w:pPr>
              <w:spacing w:after="0"/>
            </w:pPr>
            <w:r>
              <w:rPr>
                <w:b/>
                <w:color w:val="0B2545"/>
                <w:sz w:val="20"/>
              </w:rPr>
              <w:t>Pri.</w:t>
            </w:r>
          </w:p>
        </w:tc>
        <w:tc>
          <w:tcPr>
            <w:tcW w:type="dxa" w:w="2088"/>
            <w:vAlign w:val="top"/>
            <w:tcMar>
              <w:top w:w="80" w:type="dxa"/>
              <w:start w:w="120" w:type="dxa"/>
              <w:bottom w:w="80" w:type="dxa"/>
              <w:end w:w="120" w:type="dxa"/>
            </w:tcMar>
            <w:shd w:fill="E8EEF5"/>
          </w:tcPr>
          <w:p>
            <w:pPr>
              <w:spacing w:after="0"/>
            </w:pPr>
            <w:r>
              <w:rPr>
                <w:b/>
                <w:color w:val="0B2545"/>
                <w:sz w:val="20"/>
              </w:rPr>
              <w:t>Modification</w:t>
            </w:r>
          </w:p>
        </w:tc>
        <w:tc>
          <w:tcPr>
            <w:tcW w:type="dxa" w:w="1944"/>
            <w:vAlign w:val="top"/>
            <w:tcMar>
              <w:top w:w="80" w:type="dxa"/>
              <w:start w:w="120" w:type="dxa"/>
              <w:bottom w:w="80" w:type="dxa"/>
              <w:end w:w="120" w:type="dxa"/>
            </w:tcMar>
            <w:shd w:fill="E8EEF5"/>
          </w:tcPr>
          <w:p>
            <w:pPr>
              <w:spacing w:after="0"/>
            </w:pPr>
            <w:r>
              <w:rPr>
                <w:b/>
                <w:color w:val="0B2545"/>
                <w:sz w:val="20"/>
              </w:rPr>
              <w:t>Reason</w:t>
            </w:r>
          </w:p>
        </w:tc>
        <w:tc>
          <w:tcPr>
            <w:tcW w:type="dxa" w:w="2592"/>
            <w:vAlign w:val="top"/>
            <w:tcMar>
              <w:top w:w="80" w:type="dxa"/>
              <w:start w:w="120" w:type="dxa"/>
              <w:bottom w:w="80" w:type="dxa"/>
              <w:end w:w="120" w:type="dxa"/>
            </w:tcMar>
            <w:shd w:fill="E8EEF5"/>
          </w:tcPr>
          <w:p>
            <w:pPr>
              <w:spacing w:after="0"/>
            </w:pPr>
            <w:r>
              <w:rPr>
                <w:b/>
                <w:color w:val="0B2545"/>
                <w:sz w:val="20"/>
              </w:rPr>
              <w:t>Work</w:t>
            </w:r>
          </w:p>
        </w:tc>
        <w:tc>
          <w:tcPr>
            <w:tcW w:type="dxa" w:w="2088"/>
            <w:vAlign w:val="top"/>
            <w:tcMar>
              <w:top w:w="80" w:type="dxa"/>
              <w:start w:w="120" w:type="dxa"/>
              <w:bottom w:w="80" w:type="dxa"/>
              <w:end w:w="120" w:type="dxa"/>
            </w:tcMar>
            <w:shd w:fill="E8EEF5"/>
          </w:tcPr>
          <w:p>
            <w:pPr>
              <w:spacing w:after="0"/>
            </w:pPr>
            <w:r>
              <w:rPr>
                <w:b/>
                <w:color w:val="0B2545"/>
                <w:sz w:val="20"/>
              </w:rPr>
              <w:t>Done when</w:t>
            </w:r>
          </w:p>
        </w:tc>
      </w:tr>
      <w:tr>
        <w:trPr>
          <w:cantSplit/>
        </w:trPr>
        <w:tc>
          <w:tcPr>
            <w:tcW w:type="dxa" w:w="648"/>
            <w:tcMar>
              <w:top w:w="80" w:type="dxa"/>
              <w:start w:w="120" w:type="dxa"/>
              <w:bottom w:w="80" w:type="dxa"/>
              <w:end w:w="120" w:type="dxa"/>
            </w:tcMar>
            <w:vAlign w:val="top"/>
          </w:tcPr>
          <w:p>
            <w:pPr>
              <w:spacing w:after="0"/>
            </w:pPr>
            <w:r>
              <w:rPr>
                <w:sz w:val="20"/>
              </w:rPr>
              <w:t>P2</w:t>
            </w:r>
          </w:p>
        </w:tc>
        <w:tc>
          <w:tcPr>
            <w:tcW w:type="dxa" w:w="2088"/>
            <w:tcMar>
              <w:top w:w="80" w:type="dxa"/>
              <w:start w:w="120" w:type="dxa"/>
              <w:bottom w:w="80" w:type="dxa"/>
              <w:end w:w="120" w:type="dxa"/>
            </w:tcMar>
            <w:vAlign w:val="top"/>
          </w:tcPr>
          <w:p>
            <w:pPr>
              <w:spacing w:after="0"/>
            </w:pPr>
            <w:r>
              <w:rPr>
                <w:sz w:val="20"/>
              </w:rPr>
              <w:t>[ ] Add frontend and end-to-end tests</w:t>
            </w:r>
          </w:p>
        </w:tc>
        <w:tc>
          <w:tcPr>
            <w:tcW w:type="dxa" w:w="1944"/>
            <w:tcMar>
              <w:top w:w="80" w:type="dxa"/>
              <w:start w:w="120" w:type="dxa"/>
              <w:bottom w:w="80" w:type="dxa"/>
              <w:end w:w="120" w:type="dxa"/>
            </w:tcMar>
            <w:vAlign w:val="top"/>
          </w:tcPr>
          <w:p>
            <w:pPr>
              <w:spacing w:after="0"/>
            </w:pPr>
            <w:r>
              <w:rPr>
                <w:sz w:val="20"/>
              </w:rPr>
              <w:t>Runtime tests are strong but seam coverage is thin.</w:t>
            </w:r>
          </w:p>
        </w:tc>
        <w:tc>
          <w:tcPr>
            <w:tcW w:type="dxa" w:w="2592"/>
            <w:tcMar>
              <w:top w:w="80" w:type="dxa"/>
              <w:start w:w="120" w:type="dxa"/>
              <w:bottom w:w="80" w:type="dxa"/>
              <w:end w:w="120" w:type="dxa"/>
            </w:tcMar>
            <w:vAlign w:val="top"/>
          </w:tcPr>
          <w:p>
            <w:pPr>
              <w:spacing w:after="0"/>
            </w:pPr>
            <w:r>
              <w:rPr>
                <w:sz w:val="20"/>
              </w:rPr>
              <w:t>Use Playwright or component tests for approval, restore, disconnect, provider failure, and patch review UI.</w:t>
            </w:r>
          </w:p>
        </w:tc>
        <w:tc>
          <w:tcPr>
            <w:tcW w:type="dxa" w:w="2088"/>
            <w:tcMar>
              <w:top w:w="80" w:type="dxa"/>
              <w:start w:w="120" w:type="dxa"/>
              <w:bottom w:w="80" w:type="dxa"/>
              <w:end w:w="120" w:type="dxa"/>
            </w:tcMar>
            <w:vAlign w:val="top"/>
          </w:tcPr>
          <w:p>
            <w:pPr>
              <w:spacing w:after="0"/>
            </w:pPr>
            <w:r>
              <w:rPr>
                <w:sz w:val="20"/>
              </w:rPr>
              <w:t>CI includes UI state-machine tests and at least one full local runtime-to-Rust apply flow.</w:t>
            </w:r>
          </w:p>
        </w:tc>
      </w:tr>
      <w:tr>
        <w:trPr>
          <w:cantSplit/>
        </w:trPr>
        <w:tc>
          <w:tcPr>
            <w:tcW w:type="dxa" w:w="648"/>
            <w:tcMar>
              <w:top w:w="80" w:type="dxa"/>
              <w:start w:w="120" w:type="dxa"/>
              <w:bottom w:w="80" w:type="dxa"/>
              <w:end w:w="120" w:type="dxa"/>
            </w:tcMar>
            <w:vAlign w:val="top"/>
          </w:tcPr>
          <w:p>
            <w:pPr>
              <w:spacing w:after="0"/>
            </w:pPr>
            <w:r>
              <w:rPr>
                <w:sz w:val="20"/>
              </w:rPr>
              <w:t>P2</w:t>
            </w:r>
          </w:p>
        </w:tc>
        <w:tc>
          <w:tcPr>
            <w:tcW w:type="dxa" w:w="2088"/>
            <w:tcMar>
              <w:top w:w="80" w:type="dxa"/>
              <w:start w:w="120" w:type="dxa"/>
              <w:bottom w:w="80" w:type="dxa"/>
              <w:end w:w="120" w:type="dxa"/>
            </w:tcMar>
            <w:vAlign w:val="top"/>
          </w:tcPr>
          <w:p>
            <w:pPr>
              <w:spacing w:after="0"/>
            </w:pPr>
            <w:r>
              <w:rPr>
                <w:sz w:val="20"/>
              </w:rPr>
              <w:t>[ ] Introduce Codex-style automations</w:t>
            </w:r>
          </w:p>
        </w:tc>
        <w:tc>
          <w:tcPr>
            <w:tcW w:type="dxa" w:w="1944"/>
            <w:tcMar>
              <w:top w:w="80" w:type="dxa"/>
              <w:start w:w="120" w:type="dxa"/>
              <w:bottom w:w="80" w:type="dxa"/>
              <w:end w:w="120" w:type="dxa"/>
            </w:tcMar>
            <w:vAlign w:val="top"/>
          </w:tcPr>
          <w:p>
            <w:pPr>
              <w:spacing w:after="0"/>
            </w:pPr>
            <w:r>
              <w:rPr>
                <w:sz w:val="20"/>
              </w:rPr>
              <w:t>Campaigns exist, but scheduled monitors and thread automations are not productized.</w:t>
            </w:r>
          </w:p>
        </w:tc>
        <w:tc>
          <w:tcPr>
            <w:tcW w:type="dxa" w:w="2592"/>
            <w:tcMar>
              <w:top w:w="80" w:type="dxa"/>
              <w:start w:w="120" w:type="dxa"/>
              <w:bottom w:w="80" w:type="dxa"/>
              <w:end w:w="120" w:type="dxa"/>
            </w:tcMar>
            <w:vAlign w:val="top"/>
          </w:tcPr>
          <w:p>
            <w:pPr>
              <w:spacing w:after="0"/>
            </w:pPr>
            <w:r>
              <w:rPr>
                <w:sz w:val="20"/>
              </w:rPr>
              <w:t>Add scheduler, reminder/monitor definitions, execution logs, and archive/notification behavior.</w:t>
            </w:r>
          </w:p>
        </w:tc>
        <w:tc>
          <w:tcPr>
            <w:tcW w:type="dxa" w:w="2088"/>
            <w:tcMar>
              <w:top w:w="80" w:type="dxa"/>
              <w:start w:w="120" w:type="dxa"/>
              <w:bottom w:w="80" w:type="dxa"/>
              <w:end w:w="120" w:type="dxa"/>
            </w:tcMar>
            <w:vAlign w:val="top"/>
          </w:tcPr>
          <w:p>
            <w:pPr>
              <w:spacing w:after="0"/>
            </w:pPr>
            <w:r>
              <w:rPr>
                <w:sz w:val="20"/>
              </w:rPr>
              <w:t>A recurring read-only report automation can run, persist evidence, and notify the operator.</w:t>
            </w:r>
          </w:p>
        </w:tc>
      </w:tr>
      <w:tr>
        <w:trPr>
          <w:cantSplit/>
        </w:trPr>
        <w:tc>
          <w:tcPr>
            <w:tcW w:type="dxa" w:w="648"/>
            <w:tcMar>
              <w:top w:w="80" w:type="dxa"/>
              <w:start w:w="120" w:type="dxa"/>
              <w:bottom w:w="80" w:type="dxa"/>
              <w:end w:w="120" w:type="dxa"/>
            </w:tcMar>
            <w:vAlign w:val="top"/>
          </w:tcPr>
          <w:p>
            <w:pPr>
              <w:spacing w:after="0"/>
            </w:pPr>
            <w:r>
              <w:rPr>
                <w:sz w:val="20"/>
              </w:rPr>
              <w:t>P2</w:t>
            </w:r>
          </w:p>
        </w:tc>
        <w:tc>
          <w:tcPr>
            <w:tcW w:type="dxa" w:w="2088"/>
            <w:tcMar>
              <w:top w:w="80" w:type="dxa"/>
              <w:start w:w="120" w:type="dxa"/>
              <w:bottom w:w="80" w:type="dxa"/>
              <w:end w:w="120" w:type="dxa"/>
            </w:tcMar>
            <w:vAlign w:val="top"/>
          </w:tcPr>
          <w:p>
            <w:pPr>
              <w:spacing w:after="0"/>
            </w:pPr>
            <w:r>
              <w:rPr>
                <w:sz w:val="20"/>
              </w:rPr>
              <w:t>[ ] Clean stale documentation</w:t>
            </w:r>
          </w:p>
        </w:tc>
        <w:tc>
          <w:tcPr>
            <w:tcW w:type="dxa" w:w="1944"/>
            <w:tcMar>
              <w:top w:w="80" w:type="dxa"/>
              <w:start w:w="120" w:type="dxa"/>
              <w:bottom w:w="80" w:type="dxa"/>
              <w:end w:w="120" w:type="dxa"/>
            </w:tcMar>
            <w:vAlign w:val="top"/>
          </w:tcPr>
          <w:p>
            <w:pPr>
              <w:spacing w:after="0"/>
            </w:pPr>
            <w:r>
              <w:rPr>
                <w:sz w:val="20"/>
              </w:rPr>
              <w:t>Some docs still describe old Module 1/2/3 assumptions.</w:t>
            </w:r>
          </w:p>
        </w:tc>
        <w:tc>
          <w:tcPr>
            <w:tcW w:type="dxa" w:w="2592"/>
            <w:tcMar>
              <w:top w:w="80" w:type="dxa"/>
              <w:start w:w="120" w:type="dxa"/>
              <w:bottom w:w="80" w:type="dxa"/>
              <w:end w:w="120" w:type="dxa"/>
            </w:tcMar>
            <w:vAlign w:val="top"/>
          </w:tcPr>
          <w:p>
            <w:pPr>
              <w:spacing w:after="0"/>
            </w:pPr>
            <w:r>
              <w:rPr>
                <w:sz w:val="20"/>
              </w:rPr>
              <w:t>Update security-model, module status docs, deep-dive references, and release notes to current provider/mock/replay truth.</w:t>
            </w:r>
          </w:p>
        </w:tc>
        <w:tc>
          <w:tcPr>
            <w:tcW w:type="dxa" w:w="2088"/>
            <w:tcMar>
              <w:top w:w="80" w:type="dxa"/>
              <w:start w:w="120" w:type="dxa"/>
              <w:bottom w:w="80" w:type="dxa"/>
              <w:end w:w="120" w:type="dxa"/>
            </w:tcMar>
            <w:vAlign w:val="top"/>
          </w:tcPr>
          <w:p>
            <w:pPr>
              <w:spacing w:after="0"/>
            </w:pPr>
            <w:r>
              <w:rPr>
                <w:sz w:val="20"/>
              </w:rPr>
              <w:t>Docs no longer contradict production mock forbiddance or current Rust patch application.</w:t>
            </w:r>
          </w:p>
        </w:tc>
      </w:tr>
      <w:tr>
        <w:trPr>
          <w:cantSplit/>
        </w:trPr>
        <w:tc>
          <w:tcPr>
            <w:tcW w:type="dxa" w:w="648"/>
            <w:tcMar>
              <w:top w:w="80" w:type="dxa"/>
              <w:start w:w="120" w:type="dxa"/>
              <w:bottom w:w="80" w:type="dxa"/>
              <w:end w:w="120" w:type="dxa"/>
            </w:tcMar>
            <w:vAlign w:val="top"/>
          </w:tcPr>
          <w:p>
            <w:pPr>
              <w:spacing w:after="0"/>
            </w:pPr>
            <w:r>
              <w:rPr>
                <w:sz w:val="20"/>
              </w:rPr>
              <w:t>P2</w:t>
            </w:r>
          </w:p>
        </w:tc>
        <w:tc>
          <w:tcPr>
            <w:tcW w:type="dxa" w:w="2088"/>
            <w:tcMar>
              <w:top w:w="80" w:type="dxa"/>
              <w:start w:w="120" w:type="dxa"/>
              <w:bottom w:w="80" w:type="dxa"/>
              <w:end w:w="120" w:type="dxa"/>
            </w:tcMar>
            <w:vAlign w:val="top"/>
          </w:tcPr>
          <w:p>
            <w:pPr>
              <w:spacing w:after="0"/>
            </w:pPr>
            <w:r>
              <w:rPr>
                <w:sz w:val="20"/>
              </w:rPr>
              <w:t>[ ] Create release health dashboard</w:t>
            </w:r>
          </w:p>
        </w:tc>
        <w:tc>
          <w:tcPr>
            <w:tcW w:type="dxa" w:w="1944"/>
            <w:tcMar>
              <w:top w:w="80" w:type="dxa"/>
              <w:start w:w="120" w:type="dxa"/>
              <w:bottom w:w="80" w:type="dxa"/>
              <w:end w:w="120" w:type="dxa"/>
            </w:tcMar>
            <w:vAlign w:val="top"/>
          </w:tcPr>
          <w:p>
            <w:pPr>
              <w:spacing w:after="0"/>
            </w:pPr>
            <w:r>
              <w:rPr>
                <w:sz w:val="20"/>
              </w:rPr>
              <w:t>Operators need one place to see provider, memory, tests, git, runtime, and Rust authority health.</w:t>
            </w:r>
          </w:p>
        </w:tc>
        <w:tc>
          <w:tcPr>
            <w:tcW w:type="dxa" w:w="2592"/>
            <w:tcMar>
              <w:top w:w="80" w:type="dxa"/>
              <w:start w:w="120" w:type="dxa"/>
              <w:bottom w:w="80" w:type="dxa"/>
              <w:end w:w="120" w:type="dxa"/>
            </w:tcMar>
            <w:vAlign w:val="top"/>
          </w:tcPr>
          <w:p>
            <w:pPr>
              <w:spacing w:after="0"/>
            </w:pPr>
            <w:r>
              <w:rPr>
                <w:sz w:val="20"/>
              </w:rPr>
              <w:t>Add UI and CLI health commands that run safe checks and summarize blockers.</w:t>
            </w:r>
          </w:p>
        </w:tc>
        <w:tc>
          <w:tcPr>
            <w:tcW w:type="dxa" w:w="2088"/>
            <w:tcMar>
              <w:top w:w="80" w:type="dxa"/>
              <w:start w:w="120" w:type="dxa"/>
              <w:bottom w:w="80" w:type="dxa"/>
              <w:end w:w="120" w:type="dxa"/>
            </w:tcMar>
            <w:vAlign w:val="top"/>
          </w:tcPr>
          <w:p>
            <w:pPr>
              <w:spacing w:after="0"/>
            </w:pPr>
            <w:r>
              <w:rPr>
                <w:sz w:val="20"/>
              </w:rPr>
              <w:t>A single command/report gives green/yellow/red status with remediation links.</w:t>
            </w:r>
          </w:p>
        </w:tc>
      </w:tr>
      <w:tr>
        <w:trPr>
          <w:cantSplit/>
        </w:trPr>
        <w:tc>
          <w:tcPr>
            <w:tcW w:type="dxa" w:w="648"/>
            <w:tcMar>
              <w:top w:w="80" w:type="dxa"/>
              <w:start w:w="120" w:type="dxa"/>
              <w:bottom w:w="80" w:type="dxa"/>
              <w:end w:w="120" w:type="dxa"/>
            </w:tcMar>
            <w:vAlign w:val="top"/>
          </w:tcPr>
          <w:p>
            <w:pPr>
              <w:spacing w:after="0"/>
            </w:pPr>
            <w:r>
              <w:rPr>
                <w:sz w:val="20"/>
              </w:rPr>
              <w:t>P2</w:t>
            </w:r>
          </w:p>
        </w:tc>
        <w:tc>
          <w:tcPr>
            <w:tcW w:type="dxa" w:w="2088"/>
            <w:tcMar>
              <w:top w:w="80" w:type="dxa"/>
              <w:start w:w="120" w:type="dxa"/>
              <w:bottom w:w="80" w:type="dxa"/>
              <w:end w:w="120" w:type="dxa"/>
            </w:tcMar>
            <w:vAlign w:val="top"/>
          </w:tcPr>
          <w:p>
            <w:pPr>
              <w:spacing w:after="0"/>
            </w:pPr>
            <w:r>
              <w:rPr>
                <w:sz w:val="20"/>
              </w:rPr>
              <w:t>[ ] Benchmark against real tasks</w:t>
            </w:r>
          </w:p>
        </w:tc>
        <w:tc>
          <w:tcPr>
            <w:tcW w:type="dxa" w:w="1944"/>
            <w:tcMar>
              <w:top w:w="80" w:type="dxa"/>
              <w:start w:w="120" w:type="dxa"/>
              <w:bottom w:w="80" w:type="dxa"/>
              <w:end w:w="120" w:type="dxa"/>
            </w:tcMar>
            <w:vAlign w:val="top"/>
          </w:tcPr>
          <w:p>
            <w:pPr>
              <w:spacing w:after="0"/>
            </w:pPr>
            <w:r>
              <w:rPr>
                <w:sz w:val="20"/>
              </w:rPr>
              <w:t>Unit tests do not prove product usefulness.</w:t>
            </w:r>
          </w:p>
        </w:tc>
        <w:tc>
          <w:tcPr>
            <w:tcW w:type="dxa" w:w="2592"/>
            <w:tcMar>
              <w:top w:w="80" w:type="dxa"/>
              <w:start w:w="120" w:type="dxa"/>
              <w:bottom w:w="80" w:type="dxa"/>
              <w:end w:w="120" w:type="dxa"/>
            </w:tcMar>
            <w:vAlign w:val="top"/>
          </w:tcPr>
          <w:p>
            <w:pPr>
              <w:spacing w:after="0"/>
            </w:pPr>
            <w:r>
              <w:rPr>
                <w:sz w:val="20"/>
              </w:rPr>
              <w:t>Create a held-out task corpus covering bug fixes, refactors, tests, docs, UI changes, and multi-file understanding.</w:t>
            </w:r>
          </w:p>
        </w:tc>
        <w:tc>
          <w:tcPr>
            <w:tcW w:type="dxa" w:w="2088"/>
            <w:tcMar>
              <w:top w:w="80" w:type="dxa"/>
              <w:start w:w="120" w:type="dxa"/>
              <w:bottom w:w="80" w:type="dxa"/>
              <w:end w:w="120" w:type="dxa"/>
            </w:tcMar>
            <w:vAlign w:val="top"/>
          </w:tcPr>
          <w:p>
            <w:pPr>
              <w:spacing w:after="0"/>
            </w:pPr>
            <w:r>
              <w:rPr>
                <w:sz w:val="20"/>
              </w:rPr>
              <w:t>Monthly report tracks task success, unsupported claims, validation success, latency, and operator interventions.</w:t>
            </w:r>
          </w:p>
        </w:tc>
      </w:tr>
    </w:tbl>
    <w:p/>
    <w:p>
      <w:pPr>
        <w:pStyle w:val="Heading1"/>
      </w:pPr>
      <w:r>
        <w:t>Suggested Roadmap</w:t>
      </w:r>
    </w:p>
    <w:tbl>
      <w:tblPr>
        <w:tblStyle w:val="TableGrid"/>
        <w:tblW w:type="dxa" w:w="9360"/>
        <w:jc w:val="center"/>
        <w:tblLayout w:type="fixed"/>
        <w:tblLook w:firstColumn="1" w:firstRow="1" w:lastColumn="0" w:lastRow="0" w:noHBand="0" w:noVBand="1" w:val="04A0"/>
      </w:tblPr>
      <w:tblGrid>
        <w:gridCol w:w="1440"/>
        <w:gridCol w:w="5472"/>
        <w:gridCol w:w="2448"/>
      </w:tblGrid>
      <w:tr>
        <w:trPr>
          <w:tblHeader w:val="true"/>
          <w:cantSplit/>
        </w:trPr>
        <w:tc>
          <w:tcPr>
            <w:tcW w:type="dxa" w:w="1440"/>
            <w:vAlign w:val="top"/>
            <w:tcMar>
              <w:top w:w="80" w:type="dxa"/>
              <w:start w:w="120" w:type="dxa"/>
              <w:bottom w:w="80" w:type="dxa"/>
              <w:end w:w="120" w:type="dxa"/>
            </w:tcMar>
            <w:shd w:fill="E8EEF5"/>
          </w:tcPr>
          <w:p>
            <w:pPr>
              <w:spacing w:after="0"/>
            </w:pPr>
            <w:r>
              <w:rPr>
                <w:b/>
                <w:color w:val="0B2545"/>
                <w:sz w:val="20"/>
              </w:rPr>
              <w:t>Horizon</w:t>
            </w:r>
          </w:p>
        </w:tc>
        <w:tc>
          <w:tcPr>
            <w:tcW w:type="dxa" w:w="5472"/>
            <w:vAlign w:val="top"/>
            <w:tcMar>
              <w:top w:w="80" w:type="dxa"/>
              <w:start w:w="120" w:type="dxa"/>
              <w:bottom w:w="80" w:type="dxa"/>
              <w:end w:w="120" w:type="dxa"/>
            </w:tcMar>
            <w:shd w:fill="E8EEF5"/>
          </w:tcPr>
          <w:p>
            <w:pPr>
              <w:spacing w:after="0"/>
            </w:pPr>
            <w:r>
              <w:rPr>
                <w:b/>
                <w:color w:val="0B2545"/>
                <w:sz w:val="20"/>
              </w:rPr>
              <w:t>Goal</w:t>
            </w:r>
          </w:p>
        </w:tc>
        <w:tc>
          <w:tcPr>
            <w:tcW w:type="dxa" w:w="2448"/>
            <w:vAlign w:val="top"/>
            <w:tcMar>
              <w:top w:w="80" w:type="dxa"/>
              <w:start w:w="120" w:type="dxa"/>
              <w:bottom w:w="80" w:type="dxa"/>
              <w:end w:w="120" w:type="dxa"/>
            </w:tcMar>
            <w:shd w:fill="E8EEF5"/>
          </w:tcPr>
          <w:p>
            <w:pPr>
              <w:spacing w:after="0"/>
            </w:pPr>
            <w:r>
              <w:rPr>
                <w:b/>
                <w:color w:val="0B2545"/>
                <w:sz w:val="20"/>
              </w:rPr>
              <w:t>Expected parity movement</w:t>
            </w:r>
          </w:p>
        </w:tc>
      </w:tr>
      <w:tr>
        <w:trPr>
          <w:cantSplit/>
        </w:trPr>
        <w:tc>
          <w:tcPr>
            <w:tcW w:type="dxa" w:w="1440"/>
            <w:tcMar>
              <w:top w:w="80" w:type="dxa"/>
              <w:start w:w="120" w:type="dxa"/>
              <w:bottom w:w="80" w:type="dxa"/>
              <w:end w:w="120" w:type="dxa"/>
            </w:tcMar>
            <w:vAlign w:val="top"/>
          </w:tcPr>
          <w:p>
            <w:pPr>
              <w:spacing w:after="0"/>
            </w:pPr>
            <w:r>
              <w:rPr>
                <w:sz w:val="20"/>
              </w:rPr>
              <w:t>0-30 days</w:t>
            </w:r>
          </w:p>
        </w:tc>
        <w:tc>
          <w:tcPr>
            <w:tcW w:type="dxa" w:w="5472"/>
            <w:tcMar>
              <w:top w:w="80" w:type="dxa"/>
              <w:start w:w="120" w:type="dxa"/>
              <w:bottom w:w="80" w:type="dxa"/>
              <w:end w:w="120" w:type="dxa"/>
            </w:tcMar>
            <w:vAlign w:val="top"/>
          </w:tcPr>
          <w:p>
            <w:pPr>
              <w:spacing w:after="0"/>
            </w:pPr>
            <w:r>
              <w:rPr>
                <w:sz w:val="20"/>
              </w:rPr>
              <w:t>Make validation green, update mock-era tests/docs, fix provider test setup, and clarify UI trust labels.</w:t>
            </w:r>
          </w:p>
        </w:tc>
        <w:tc>
          <w:tcPr>
            <w:tcW w:type="dxa" w:w="2448"/>
            <w:tcMar>
              <w:top w:w="80" w:type="dxa"/>
              <w:start w:w="120" w:type="dxa"/>
              <w:bottom w:w="80" w:type="dxa"/>
              <w:end w:w="120" w:type="dxa"/>
            </w:tcMar>
            <w:vAlign w:val="top"/>
          </w:tcPr>
          <w:p>
            <w:pPr>
              <w:spacing w:after="0"/>
            </w:pPr>
            <w:r>
              <w:rPr>
                <w:sz w:val="20"/>
              </w:rPr>
              <w:t>55% -&gt; 62-65%</w:t>
            </w:r>
          </w:p>
        </w:tc>
      </w:tr>
      <w:tr>
        <w:trPr>
          <w:cantSplit/>
        </w:trPr>
        <w:tc>
          <w:tcPr>
            <w:tcW w:type="dxa" w:w="1440"/>
            <w:tcMar>
              <w:top w:w="80" w:type="dxa"/>
              <w:start w:w="120" w:type="dxa"/>
              <w:bottom w:w="80" w:type="dxa"/>
              <w:end w:w="120" w:type="dxa"/>
            </w:tcMar>
            <w:vAlign w:val="top"/>
          </w:tcPr>
          <w:p>
            <w:pPr>
              <w:spacing w:after="0"/>
            </w:pPr>
            <w:r>
              <w:rPr>
                <w:sz w:val="20"/>
              </w:rPr>
              <w:t>30-60 days</w:t>
            </w:r>
          </w:p>
        </w:tc>
        <w:tc>
          <w:tcPr>
            <w:tcW w:type="dxa" w:w="5472"/>
            <w:tcMar>
              <w:top w:w="80" w:type="dxa"/>
              <w:start w:w="120" w:type="dxa"/>
              <w:bottom w:w="80" w:type="dxa"/>
              <w:end w:w="120" w:type="dxa"/>
            </w:tcMar>
            <w:vAlign w:val="top"/>
          </w:tcPr>
          <w:p>
            <w:pPr>
              <w:spacing w:after="0"/>
            </w:pPr>
            <w:r>
              <w:rPr>
                <w:sz w:val="20"/>
              </w:rPr>
              <w:t>Unify durable event authority, improve session replay, harden patch/apply/verify E2E, and add frontend tests.</w:t>
            </w:r>
          </w:p>
        </w:tc>
        <w:tc>
          <w:tcPr>
            <w:tcW w:type="dxa" w:w="2448"/>
            <w:tcMar>
              <w:top w:w="80" w:type="dxa"/>
              <w:start w:w="120" w:type="dxa"/>
              <w:bottom w:w="80" w:type="dxa"/>
              <w:end w:w="120" w:type="dxa"/>
            </w:tcMar>
            <w:vAlign w:val="top"/>
          </w:tcPr>
          <w:p>
            <w:pPr>
              <w:spacing w:after="0"/>
            </w:pPr>
            <w:r>
              <w:rPr>
                <w:sz w:val="20"/>
              </w:rPr>
              <w:t>62-65% -&gt; 68-72%</w:t>
            </w:r>
          </w:p>
        </w:tc>
      </w:tr>
      <w:tr>
        <w:trPr>
          <w:cantSplit/>
        </w:trPr>
        <w:tc>
          <w:tcPr>
            <w:tcW w:type="dxa" w:w="1440"/>
            <w:tcMar>
              <w:top w:w="80" w:type="dxa"/>
              <w:start w:w="120" w:type="dxa"/>
              <w:bottom w:w="80" w:type="dxa"/>
              <w:end w:w="120" w:type="dxa"/>
            </w:tcMar>
            <w:vAlign w:val="top"/>
          </w:tcPr>
          <w:p>
            <w:pPr>
              <w:spacing w:after="0"/>
            </w:pPr>
            <w:r>
              <w:rPr>
                <w:sz w:val="20"/>
              </w:rPr>
              <w:t>60-90 days</w:t>
            </w:r>
          </w:p>
        </w:tc>
        <w:tc>
          <w:tcPr>
            <w:tcW w:type="dxa" w:w="5472"/>
            <w:tcMar>
              <w:top w:w="80" w:type="dxa"/>
              <w:start w:w="120" w:type="dxa"/>
              <w:bottom w:w="80" w:type="dxa"/>
              <w:end w:w="120" w:type="dxa"/>
            </w:tcMar>
            <w:vAlign w:val="top"/>
          </w:tcPr>
          <w:p>
            <w:pPr>
              <w:spacing w:after="0"/>
            </w:pPr>
            <w:r>
              <w:rPr>
                <w:sz w:val="20"/>
              </w:rPr>
              <w:t>Implement ProjectUnderstandingKernel, structured command policy, provider-backed read-only swarm, and worktree isolation.</w:t>
            </w:r>
          </w:p>
        </w:tc>
        <w:tc>
          <w:tcPr>
            <w:tcW w:type="dxa" w:w="2448"/>
            <w:tcMar>
              <w:top w:w="80" w:type="dxa"/>
              <w:start w:w="120" w:type="dxa"/>
              <w:bottom w:w="80" w:type="dxa"/>
              <w:end w:w="120" w:type="dxa"/>
            </w:tcMar>
            <w:vAlign w:val="top"/>
          </w:tcPr>
          <w:p>
            <w:pPr>
              <w:spacing w:after="0"/>
            </w:pPr>
            <w:r>
              <w:rPr>
                <w:sz w:val="20"/>
              </w:rPr>
              <w:t>68-72% -&gt; 75-80%</w:t>
            </w:r>
          </w:p>
        </w:tc>
      </w:tr>
      <w:tr>
        <w:trPr>
          <w:cantSplit/>
        </w:trPr>
        <w:tc>
          <w:tcPr>
            <w:tcW w:type="dxa" w:w="1440"/>
            <w:tcMar>
              <w:top w:w="80" w:type="dxa"/>
              <w:start w:w="120" w:type="dxa"/>
              <w:bottom w:w="80" w:type="dxa"/>
              <w:end w:w="120" w:type="dxa"/>
            </w:tcMar>
            <w:vAlign w:val="top"/>
          </w:tcPr>
          <w:p>
            <w:pPr>
              <w:spacing w:after="0"/>
            </w:pPr>
            <w:r>
              <w:rPr>
                <w:sz w:val="20"/>
              </w:rPr>
              <w:t>90+ days</w:t>
            </w:r>
          </w:p>
        </w:tc>
        <w:tc>
          <w:tcPr>
            <w:tcW w:type="dxa" w:w="5472"/>
            <w:tcMar>
              <w:top w:w="80" w:type="dxa"/>
              <w:start w:w="120" w:type="dxa"/>
              <w:bottom w:w="80" w:type="dxa"/>
              <w:end w:w="120" w:type="dxa"/>
            </w:tcMar>
            <w:vAlign w:val="top"/>
          </w:tcPr>
          <w:p>
            <w:pPr>
              <w:spacing w:after="0"/>
            </w:pPr>
            <w:r>
              <w:rPr>
                <w:sz w:val="20"/>
              </w:rPr>
              <w:t>Add skills, MCP, plugins/connectors, automations, IDE/CLI polish, and sealed certification gates.</w:t>
            </w:r>
          </w:p>
        </w:tc>
        <w:tc>
          <w:tcPr>
            <w:tcW w:type="dxa" w:w="2448"/>
            <w:tcMar>
              <w:top w:w="80" w:type="dxa"/>
              <w:start w:w="120" w:type="dxa"/>
              <w:bottom w:w="80" w:type="dxa"/>
              <w:end w:w="120" w:type="dxa"/>
            </w:tcMar>
            <w:vAlign w:val="top"/>
          </w:tcPr>
          <w:p>
            <w:pPr>
              <w:spacing w:after="0"/>
            </w:pPr>
            <w:r>
              <w:rPr>
                <w:sz w:val="20"/>
              </w:rPr>
              <w:t>75-80% -&gt; 82-88% if validation remains green.</w:t>
            </w:r>
          </w:p>
        </w:tc>
      </w:tr>
    </w:tbl>
    <w:p/>
    <w:p>
      <w:pPr>
        <w:pStyle w:val="Heading1"/>
      </w:pPr>
      <w:r>
        <w:t>What Not To Do</w:t>
      </w:r>
    </w:p>
    <w:p>
      <w:pPr>
        <w:pStyle w:val="ListBullet"/>
      </w:pPr>
      <w:r>
        <w:t>Do not chase a cosmetic Codex clone before trust and validation are green.</w:t>
      </w:r>
    </w:p>
    <w:p>
      <w:pPr>
        <w:pStyle w:val="ListBullet"/>
      </w:pPr>
      <w:r>
        <w:t>Do not add local semantic fallback answers to make demos look better.</w:t>
      </w:r>
    </w:p>
    <w:p>
      <w:pPr>
        <w:pStyle w:val="ListBullet"/>
      </w:pPr>
      <w:r>
        <w:t>Do not widen command or patch authority to compensate for missing lifecycle repair.</w:t>
      </w:r>
    </w:p>
    <w:p>
      <w:pPr>
        <w:pStyle w:val="ListBullet"/>
      </w:pPr>
      <w:r>
        <w:t>Do not market 300 agents as the normal user experience; keep it a maximum internal capacity.</w:t>
      </w:r>
    </w:p>
    <w:p>
      <w:pPr>
        <w:pStyle w:val="ListBullet"/>
      </w:pPr>
      <w:r>
        <w:t>Do not claim Codex-level reasoning from unit tests or scripted smoke runs.</w:t>
      </w:r>
    </w:p>
    <w:p>
      <w:pPr>
        <w:pStyle w:val="ListBullet"/>
      </w:pPr>
      <w:r>
        <w:t>Do not solve deep project understanding with more hardcoded concept rules.</w:t>
      </w:r>
    </w:p>
    <w:p>
      <w:pPr>
        <w:pStyle w:val="Heading1"/>
      </w:pPr>
      <w:r>
        <w:t>Evidence Appendix</w:t>
      </w:r>
    </w:p>
    <w:p>
      <w:r>
        <w:t>Official Codex evidence used:</w:t>
      </w:r>
    </w:p>
    <w:p>
      <w:pPr>
        <w:pStyle w:val="ListBullet"/>
      </w:pPr>
      <w:r>
        <w:t>OpenAI Codex manual, fetched on 2026-06-22 from developers.openai.com/codex/codex-manual.md.</w:t>
      </w:r>
    </w:p>
    <w:p>
      <w:pPr>
        <w:pStyle w:val="ListBullet"/>
      </w:pPr>
      <w:r>
        <w:t>Manual sections consulted: Codex overview, best practices, Codex app features, CLI features, AGENTS.md customization, skills, MCP, subagents, and plugins.</w:t>
      </w:r>
    </w:p>
    <w:p>
      <w:r>
        <w:t>Repository evidence used:</w:t>
      </w:r>
    </w:p>
    <w:p>
      <w:pPr>
        <w:pStyle w:val="ListBullet"/>
      </w:pPr>
      <w:r>
        <w:t>README.md and docs/architecture.md for system architecture.</w:t>
      </w:r>
    </w:p>
    <w:p>
      <w:pPr>
        <w:pStyle w:val="ListBullet"/>
      </w:pPr>
      <w:r>
        <w:t>docs/agent-contracts.md for ReasoningKernel and provider-truth contracts.</w:t>
      </w:r>
    </w:p>
    <w:p>
      <w:pPr>
        <w:pStyle w:val="ListBullet"/>
      </w:pPr>
      <w:r>
        <w:t>docs/adaptive-reasoning-certification.md for certification gate requirements.</w:t>
      </w:r>
    </w:p>
    <w:p>
      <w:pPr>
        <w:pStyle w:val="ListBullet"/>
      </w:pPr>
      <w:r>
        <w:t>docs/release-candidate-status.md and docs/reliability-audit.md for known limitations.</w:t>
      </w:r>
    </w:p>
    <w:p>
      <w:pPr>
        <w:pStyle w:val="ListBullet"/>
      </w:pPr>
      <w:r>
        <w:t>docs/project-understanding-general-intelligence-diagnosis.md for deep understanding gaps.</w:t>
      </w:r>
    </w:p>
    <w:p>
      <w:pPr>
        <w:pStyle w:val="ListBullet"/>
      </w:pPr>
      <w:r>
        <w:t>apps/agent-runtime/src/runtime/ReasoningKernel.ts and related tests for provider-authored reasoning.</w:t>
      </w:r>
    </w:p>
    <w:p>
      <w:pPr>
        <w:pStyle w:val="ListBullet"/>
      </w:pPr>
      <w:r>
        <w:t>apps/desktop/src-tauri/src/commands/patch.rs and services/patch.rs for Rust patch authority.</w:t>
      </w:r>
    </w:p>
    <w:p>
      <w:pPr>
        <w:pStyle w:val="ListBullet"/>
      </w:pPr>
      <w:r>
        <w:t>apps/desktop/src-tauri/src/services/terminal.rs and command_policy.rs for command authority.</w:t>
      </w:r>
    </w:p>
    <w:p>
      <w:pPr>
        <w:pStyle w:val="ListBullet"/>
      </w:pPr>
      <w:r>
        <w:t>apps/agent-runtime/src/memory and .agent_memory status output for SQLite memory.</w:t>
      </w:r>
    </w:p>
    <w:p>
      <w:pPr>
        <w:pStyle w:val="ListBullet"/>
      </w:pPr>
      <w:r>
        <w:t>apps/agent-runtime/src/orchestration for swarm, trials, team sub-planning, and validation gates.</w:t>
      </w:r>
    </w:p>
    <w:p>
      <w:pPr>
        <w:pStyle w:val="Heading1"/>
      </w:pPr>
      <w:r>
        <w:t>Final Recommendation</w:t>
      </w:r>
    </w:p>
    <w:p>
      <w:r>
        <w:t>Treat Hivo as a promising orchestration-first coding-agent platform, not yet as a Codex replacement. The architecture is good enough to continue. The immediate focus should be product hardening: green tests, durable truth, provider recovery, and a stricter operator UX. After that, the unique Hivo thesis becomes compelling: a local, auditable, multi-agent coding factory with provider-configurable intelligence and deterministic authority boundaries.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670"/>
        <w:sz w:val="18"/>
      </w:rPr>
      <w:t>Generated assessment artifact - 2026-06-22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670"/>
        <w:sz w:val="18"/>
      </w:rPr>
      <w:t>Codex-Level Assessment | Hivo Studio / OrchCode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C66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Codex-Level Assessment for Hivo Studio / OrchCode Studio</dc:title>
  <dc:subject>Assessment, parity score, and modification checklist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