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bidi/>
        <w:spacing w:before="5600"/>
        <w:jc w:val="center"/>
      </w:pPr>
      <w:r>
        <w:t>پیوست‌ها</w:t>
      </w:r>
    </w:p>
    <w:p>
      <w:pPr>
        <w:bidi/>
        <w:jc w:val="lowKashida"/>
      </w:pPr>
      <w:r>
        <w:br w:type="page"/>
      </w:r>
    </w:p>
    <w:p>
      <w:pPr>
        <w:pStyle w:val="Heading2"/>
        <w:keepNext/>
        <w:pageBreakBefore/>
        <w:bidi/>
        <w:spacing w:before="0" w:after="80"/>
        <w:jc w:val="lowKashida"/>
      </w:pPr>
      <w:r>
        <w:t>پیوست الف: پرسشنامه دور نخست دلفی</w:t>
      </w:r>
    </w:p>
    <w:p>
      <w:pPr>
        <w:pStyle w:val="Heading3"/>
        <w:keepNext/>
        <w:bidi/>
        <w:spacing w:before="200" w:after="80"/>
        <w:jc w:val="lowKashida"/>
      </w:pPr>
      <w:r>
        <w:t>معرفی پژوهش و رضایت آگاهانه</w:t>
      </w:r>
    </w:p>
    <w:p>
      <w:pPr>
        <w:bidi/>
        <w:spacing w:after="60"/>
        <w:jc w:val="lowKashida"/>
      </w:pPr>
      <w:r>
        <w:rPr>
          <w:rtl/>
        </w:rPr>
        <w:t xml:space="preserve">با سلام و احترام،</w:t>
      </w:r>
    </w:p>
    <w:p>
      <w:pPr>
        <w:bidi/>
        <w:spacing w:after="60"/>
        <w:jc w:val="lowKashida"/>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lowKashida"/>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lowKashida"/>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کدهای خ۱ تا خ۲۴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lowKashida"/>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lowKashida"/>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lowKashida"/>
      </w:pPr>
    </w:p>
    <w:p>
      <w:pPr>
        <w:pStyle w:val="Heading3"/>
        <w:keepNext/>
        <w:bidi/>
        <w:spacing w:before="200" w:after="80"/>
        <w:jc w:val="lowKashida"/>
      </w:pPr>
      <w:r>
        <w:t>بخش نخست: مشخصات جمعیت‌شناختی</w:t>
      </w:r>
    </w:p>
    <w:p>
      <w:pPr>
        <w:bidi/>
        <w:spacing w:after="60"/>
        <w:jc w:val="lowKashida"/>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lowKashida"/>
      </w:pPr>
      <w:r>
        <w:rPr>
          <w:b/>
          <w:bCs/>
          <w:rtl/>
        </w:rPr>
        <w:t xml:space="preserve">۱. جایگاه شغلی:</w:t>
      </w:r>
    </w:p>
    <w:p>
      <w:pPr>
        <w:bidi/>
        <w:spacing w:after="60"/>
        <w:ind w:left="360"/>
        <w:jc w:val="lowKashida"/>
      </w:pPr>
      <w:r>
        <w:rPr>
          <w:rtl/>
        </w:rPr>
        <w:t xml:space="preserve">☐  عضو هیئت علمی</w:t>
      </w:r>
      <w:r>
        <w:rPr>
          <w:rtl/>
        </w:rPr>
        <w:t xml:space="preserve">      ☐  مدیر فروش</w:t>
      </w:r>
    </w:p>
    <w:p>
      <w:pPr>
        <w:bidi/>
        <w:spacing w:after="60"/>
        <w:ind w:left="360"/>
        <w:jc w:val="lowKashida"/>
      </w:pPr>
      <w:r>
        <w:rPr>
          <w:rtl/>
        </w:rPr>
        <w:t xml:space="preserve">☐  کارشناس فروش</w:t>
      </w:r>
      <w:r>
        <w:rPr>
          <w:rtl/>
        </w:rPr>
        <w:t xml:space="preserve">      ☐  کارشناس برنامه‌ریزی تولید</w:t>
      </w:r>
    </w:p>
    <w:p>
      <w:pPr>
        <w:bidi/>
        <w:spacing w:after="60"/>
      </w:pPr>
      <w:r>
        <w:rPr>
          <w:rtl/>
        </w:rPr>
        <w:t xml:space="preserve">سایر (لطفاً ذکر کنید): </w:t>
      </w:r>
      <w:r>
        <w:rPr>
          <w:u w:val="single"/>
          <w:rtl/>
        </w:rPr>
        <w:t xml:space="preserve">                              </w:t>
      </w:r>
    </w:p>
    <w:p>
      <w:pPr>
        <w:bidi/>
        <w:spacing w:after="60"/>
        <w:jc w:val="lowKashida"/>
      </w:pPr>
      <w:r>
        <w:rPr>
          <w:b/>
          <w:bCs/>
          <w:rtl/>
        </w:rPr>
        <w:t xml:space="preserve">۲. سطح تحصیلات:</w:t>
      </w:r>
    </w:p>
    <w:p>
      <w:pPr>
        <w:bidi/>
        <w:spacing w:after="60"/>
        <w:ind w:left="360"/>
        <w:jc w:val="lowKashida"/>
      </w:pPr>
      <w:r>
        <w:rPr>
          <w:rtl/>
        </w:rPr>
        <w:t xml:space="preserve">☐  دیپلم</w:t>
      </w:r>
      <w:r>
        <w:rPr>
          <w:rtl/>
        </w:rPr>
        <w:t xml:space="preserve">      ☐  کارشناسی</w:t>
      </w:r>
    </w:p>
    <w:p>
      <w:pPr>
        <w:bidi/>
        <w:spacing w:after="60"/>
        <w:ind w:left="360"/>
        <w:jc w:val="lowKashida"/>
      </w:pPr>
      <w:r>
        <w:rPr>
          <w:rtl/>
        </w:rPr>
        <w:t xml:space="preserve">☐  کارشناسی ارشد</w:t>
      </w:r>
      <w:r>
        <w:rPr>
          <w:rtl/>
        </w:rPr>
        <w:t xml:space="preserve">      ☐  دکترا</w:t>
      </w:r>
    </w:p>
    <w:p>
      <w:pPr>
        <w:bidi/>
        <w:spacing w:after="60"/>
        <w:jc w:val="lowKashida"/>
      </w:pPr>
      <w:r>
        <w:rPr>
          <w:b/>
          <w:bCs/>
          <w:rtl/>
        </w:rPr>
        <w:t xml:space="preserve">۳. سابقه فعالیت در حوزه فروش یا بازاریابی محصولات غذایی:</w:t>
      </w:r>
    </w:p>
    <w:p>
      <w:pPr>
        <w:bidi/>
        <w:spacing w:after="60"/>
        <w:ind w:left="360"/>
        <w:jc w:val="lowKashida"/>
      </w:pPr>
      <w:r>
        <w:rPr>
          <w:rtl/>
        </w:rPr>
        <w:t xml:space="preserve">☐  کمتر از ۵ سال</w:t>
      </w:r>
      <w:r>
        <w:rPr>
          <w:rtl/>
        </w:rPr>
        <w:t xml:space="preserve">      ☐  ۵ تا ۱۰ سال</w:t>
      </w:r>
    </w:p>
    <w:p>
      <w:pPr>
        <w:bidi/>
        <w:spacing w:after="60"/>
        <w:ind w:left="360"/>
        <w:jc w:val="lowKashida"/>
      </w:pPr>
      <w:r>
        <w:rPr>
          <w:rtl/>
        </w:rPr>
        <w:t xml:space="preserve">☐  ۱۱ تا ۲۰ سال</w:t>
      </w:r>
      <w:r>
        <w:rPr>
          <w:rtl/>
        </w:rPr>
        <w:t xml:space="preserve">      ☐  بیش از ۲۰ سال</w:t>
      </w:r>
    </w:p>
    <w:p>
      <w:pPr>
        <w:bidi/>
        <w:spacing w:after="60"/>
        <w:jc w:val="lowKashida"/>
      </w:pPr>
      <w:r>
        <w:rPr>
          <w:b/>
          <w:bCs/>
          <w:rtl/>
        </w:rPr>
        <w:t xml:space="preserve">۴. نوع محصول اصلی شرکت محل فعالیت:</w:t>
      </w:r>
    </w:p>
    <w:p>
      <w:pPr>
        <w:bidi/>
        <w:spacing w:after="60"/>
        <w:ind w:left="360"/>
        <w:jc w:val="lowKashida"/>
      </w:pPr>
      <w:r>
        <w:rPr>
          <w:rtl/>
        </w:rPr>
        <w:t xml:space="preserve">☐  فرآورده‌های لبنی</w:t>
      </w:r>
      <w:r>
        <w:rPr>
          <w:rtl/>
        </w:rPr>
        <w:t xml:space="preserve">      ☐  کره</w:t>
      </w:r>
    </w:p>
    <w:p>
      <w:pPr>
        <w:bidi/>
        <w:spacing w:after="60"/>
        <w:ind w:left="360"/>
        <w:jc w:val="lowKashida"/>
      </w:pPr>
      <w:r>
        <w:rPr>
          <w:rtl/>
        </w:rPr>
        <w:t xml:space="preserve">☐  حلوا ارده</w:t>
      </w:r>
      <w:r>
        <w:rPr>
          <w:rtl/>
        </w:rPr>
        <w:t xml:space="preserve">      ☐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lowKashida"/>
      </w:pPr>
    </w:p>
    <w:p>
      <w:pPr>
        <w:pStyle w:val="Heading3"/>
        <w:keepNext/>
        <w:bidi/>
        <w:spacing w:before="200" w:after="80"/>
        <w:jc w:val="lowKashida"/>
      </w:pPr>
      <w:r>
        <w:t>بخش دوم: پرسش اصلی پژوهش</w:t>
      </w:r>
    </w:p>
    <w:p>
      <w:pPr>
        <w:bidi/>
        <w:spacing w:after="60"/>
        <w:jc w:val="lowKashida"/>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lowKashida"/>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 xml:space="preserve">                                                         </w:t>
      </w:r>
    </w:p>
    <w:p>
      <w:pPr>
        <w:bidi/>
        <w:spacing w:after="60"/>
      </w:pPr>
      <w:r>
        <w:rPr>
          <w:rtl/>
        </w:rPr>
        <w:t xml:space="preserve">۲) </w:t>
      </w:r>
      <w:r>
        <w:rPr>
          <w:u w:val="single"/>
          <w:rtl/>
        </w:rPr>
        <w:t xml:space="preserve">                                                         </w:t>
      </w:r>
    </w:p>
    <w:p>
      <w:pPr>
        <w:bidi/>
        <w:spacing w:after="60"/>
      </w:pPr>
      <w:r>
        <w:rPr>
          <w:rtl/>
        </w:rPr>
        <w:t xml:space="preserve">۳) </w:t>
      </w:r>
      <w:r>
        <w:rPr>
          <w:u w:val="single"/>
          <w:rtl/>
        </w:rPr>
        <w:t xml:space="preserve">                                                         </w:t>
      </w:r>
    </w:p>
    <w:p>
      <w:pPr>
        <w:bidi/>
        <w:spacing w:after="60"/>
      </w:pPr>
      <w:r>
        <w:rPr>
          <w:rtl/>
        </w:rPr>
        <w:t xml:space="preserve">۴) </w:t>
      </w:r>
      <w:r>
        <w:rPr>
          <w:u w:val="single"/>
          <w:rtl/>
        </w:rPr>
        <w:t xml:space="preserve">                                                         </w:t>
      </w:r>
    </w:p>
    <w:p>
      <w:pPr>
        <w:bidi/>
        <w:spacing w:after="60"/>
      </w:pPr>
      <w:r>
        <w:rPr>
          <w:rtl/>
        </w:rPr>
        <w:t xml:space="preserve">۵) </w:t>
      </w:r>
      <w:r>
        <w:rPr>
          <w:u w:val="single"/>
          <w:rtl/>
        </w:rPr>
        <w:t xml:space="preserve">                                                         </w:t>
      </w:r>
    </w:p>
    <w:p>
      <w:pPr>
        <w:bidi/>
        <w:spacing w:after="60"/>
      </w:pPr>
      <w:r>
        <w:rPr>
          <w:rtl/>
        </w:rPr>
        <w:t xml:space="preserve">۶) </w:t>
      </w:r>
      <w:r>
        <w:rPr>
          <w:u w:val="single"/>
          <w:rtl/>
        </w:rPr>
        <w:t xml:space="preserve">                                                         </w:t>
      </w:r>
    </w:p>
    <w:p>
      <w:pPr>
        <w:bidi/>
        <w:spacing w:after="60"/>
      </w:pPr>
      <w:r>
        <w:rPr>
          <w:rtl/>
        </w:rPr>
        <w:t xml:space="preserve">۷) </w:t>
      </w:r>
      <w:r>
        <w:rPr>
          <w:u w:val="single"/>
          <w:rtl/>
        </w:rPr>
        <w:t xml:space="preserve">                                                         </w:t>
      </w:r>
    </w:p>
    <w:p>
      <w:pPr>
        <w:bidi/>
        <w:spacing w:after="60"/>
      </w:pPr>
      <w:r>
        <w:rPr>
          <w:rtl/>
        </w:rPr>
        <w:t xml:space="preserve">۸) </w:t>
      </w:r>
      <w:r>
        <w:rPr>
          <w:u w:val="single"/>
          <w:rtl/>
        </w:rPr>
        <w:t xml:space="preserve">                                                         </w:t>
      </w:r>
    </w:p>
    <w:p>
      <w:pPr>
        <w:bidi/>
        <w:spacing w:after="60"/>
      </w:pPr>
      <w:r>
        <w:rPr>
          <w:rtl/>
        </w:rPr>
        <w:t xml:space="preserve">۹) </w:t>
      </w:r>
      <w:r>
        <w:rPr>
          <w:u w:val="single"/>
          <w:rtl/>
        </w:rPr>
        <w:t xml:space="preserve">                                                         </w:t>
      </w:r>
    </w:p>
    <w:p>
      <w:pPr>
        <w:bidi/>
        <w:spacing w:after="60"/>
      </w:pPr>
      <w:r>
        <w:rPr>
          <w:rtl/>
        </w:rPr>
        <w:t xml:space="preserve">۱۰) </w:t>
      </w:r>
      <w:r>
        <w:rPr>
          <w:u w:val="single"/>
          <w:rtl/>
        </w:rPr>
        <w:t xml:space="preserve">                                                        </w:t>
      </w:r>
    </w:p>
    <w:p>
      <w:pPr>
        <w:bidi/>
        <w:spacing w:after="60"/>
        <w:jc w:val="lowKashida"/>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lowKashida"/>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jc w:val="lowKashida"/>
      </w:pPr>
      <w:r>
        <w:t>پیوست ب: پرسشنامه دور دوم دلفی (رتبه‌بندی گویه‌ها)</w:t>
      </w:r>
    </w:p>
    <w:p>
      <w:pPr>
        <w:pStyle w:val="Heading3"/>
        <w:keepNext/>
        <w:bidi/>
        <w:spacing w:before="200" w:after="80"/>
        <w:jc w:val="lowKashida"/>
      </w:pPr>
      <w:r>
        <w:t>معرفی و راهنمای تکمیل</w:t>
      </w:r>
    </w:p>
    <w:p>
      <w:pPr>
        <w:bidi/>
        <w:spacing w:after="60"/>
        <w:jc w:val="lowKashida"/>
      </w:pPr>
      <w:r>
        <w:rPr>
          <w:rtl/>
        </w:rPr>
        <w:t xml:space="preserve">با سلام و احترام،</w:t>
      </w:r>
    </w:p>
    <w:p>
      <w:pPr>
        <w:bidi/>
        <w:spacing w:after="60"/>
        <w:jc w:val="lowKashida"/>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lowKashida"/>
      </w:pPr>
      <w:r>
        <w:rPr>
          <w:b/>
          <w:bCs/>
          <w:rtl/>
        </w:rPr>
        <w:t xml:space="preserve">طیف رتبه‌بندی:</w:t>
      </w:r>
    </w:p>
    <w:p>
      <w:pPr>
        <w:bidi/>
        <w:spacing w:after="60"/>
        <w:ind w:left="360"/>
        <w:jc w:val="lowKashida"/>
      </w:pPr>
      <w:r>
        <w:rPr>
          <w:rtl/>
        </w:rPr>
        <w:t xml:space="preserve">☐  ۱ = بدون اهمیت یا کم‌ارتباط با چالش‌های فروش</w:t>
      </w:r>
    </w:p>
    <w:p>
      <w:pPr>
        <w:bidi/>
        <w:spacing w:after="60"/>
        <w:ind w:left="360"/>
        <w:jc w:val="lowKashida"/>
      </w:pPr>
      <w:r>
        <w:rPr>
          <w:rtl/>
        </w:rPr>
        <w:t xml:space="preserve">☐  ۲ = کم‌اهمیت</w:t>
      </w:r>
    </w:p>
    <w:p>
      <w:pPr>
        <w:bidi/>
        <w:spacing w:after="60"/>
        <w:ind w:left="360"/>
        <w:jc w:val="lowKashida"/>
      </w:pPr>
      <w:r>
        <w:rPr>
          <w:rtl/>
        </w:rPr>
        <w:t xml:space="preserve">☐  ۳ = تا حدی مهم</w:t>
      </w:r>
    </w:p>
    <w:p>
      <w:pPr>
        <w:bidi/>
        <w:spacing w:after="60"/>
        <w:ind w:left="360"/>
        <w:jc w:val="lowKashida"/>
      </w:pPr>
      <w:r>
        <w:rPr>
          <w:rtl/>
        </w:rPr>
        <w:t xml:space="preserve">☐  ۴ = مهم</w:t>
      </w:r>
    </w:p>
    <w:p>
      <w:pPr>
        <w:bidi/>
        <w:spacing w:after="60"/>
        <w:ind w:left="360"/>
        <w:jc w:val="lowKashida"/>
      </w:pPr>
      <w:r>
        <w:rPr>
          <w:rtl/>
        </w:rPr>
        <w:t xml:space="preserve">☐  ۵ = بسیار مهم و تعیین‌کننده</w:t>
      </w:r>
    </w:p>
    <w:p>
      <w:pPr>
        <w:bidi/>
        <w:spacing w:after="60"/>
        <w:jc w:val="lowKashida"/>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lowKashida"/>
      </w:pPr>
    </w:p>
    <w:p>
      <w:pPr>
        <w:keepNext/>
        <w:bidi/>
        <w:spacing w:after="60"/>
        <w:jc w:val="lowKashida"/>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3"/>
        <w:keepNext/>
        <w:pageBreakBefore/>
        <w:bidi/>
        <w:spacing w:before="0" w:after="80"/>
        <w:jc w:val="lowKashida"/>
      </w:pPr>
      <w:r>
        <w:t>پاسخ‌های کامل‌شده پرسشنامه دور دوم دلفی (تفکیک به ازای ۷ عضو پانل خبرگان)</w:t>
      </w:r>
    </w:p>
    <w:p>
      <w:pPr>
        <w:bidi/>
        <w:spacing w:after="40"/>
        <w:jc w:val="lowKashida"/>
      </w:pPr>
      <w:r>
        <w:rPr>
          <w:rtl/>
        </w:rPr>
        <w:t xml:space="preserve">هر جدول، پاسخ یک عضو پانل را نشان می‌دهد (■ = امتیاز انتخاب‌شده). مشخصات اعضا مطابق ثبت پژوهشگر است.</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jc w:val="lowKashida"/>
      </w:pPr>
      <w:r>
        <w:t>پیوست پ: پرسشنامه دور سوم دلفی (بازنگری رتبه‌بندی با بازخورد گروهی)</w:t>
      </w:r>
    </w:p>
    <w:p>
      <w:pPr>
        <w:bidi/>
        <w:spacing w:after="60"/>
        <w:jc w:val="lowKashida"/>
      </w:pPr>
      <w:r>
        <w:rPr>
          <w:rtl/>
        </w:rPr>
        <w:t xml:space="preserve">در دور سوم، برای هر عضو پانل یک برگه جداگانه تنظیم شد. یادآوری: ستون «بازخورد دور دوم» امتیاز شما در دور قبل و میانگین و میانه امتیاز کل پانل را نشان می‌دهد. امتیاز نهایی خود را برای دور سوم در یکی از ستون‌های ۱ تا ۵ علامت بزنید.</w:t>
      </w:r>
    </w:p>
    <w:p>
      <w:pPr>
        <w:pStyle w:val="Heading3"/>
        <w:keepNext/>
        <w:bidi/>
        <w:spacing w:before="120" w:after="80"/>
        <w:jc w:val="lowKashida"/>
      </w:pPr>
      <w:r>
        <w:t>پ-۱ برگه‌های پرسشنامه دور سوم (پیش از تکمیل)</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before="160" w:after="60"/>
        <w:jc w:val="center"/>
      </w:pPr>
      <w:r>
        <w:rPr>
          <w:rtl/>
        </w:rPr>
        <w:t xml:space="preserve">از همکاری صمیمانه شما در تمامی مراحل این پژوهش سپاسگزاریم.</w:t>
      </w:r>
    </w:p>
    <w:p>
      <w:pPr>
        <w:pStyle w:val="Heading3"/>
        <w:keepNext/>
        <w:pageBreakBefore/>
        <w:bidi/>
        <w:spacing w:before="0" w:after="80"/>
        <w:jc w:val="lowKashida"/>
      </w:pPr>
      <w:r>
        <w:t>پ-۲ پاسخ‌های کامل‌شده پرسشنامه دور سوم دلفی (رسیدن به اجماع نهایی؛ تفکیک به ازای ۷ عضو پانل خبرگان)</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jc w:val="lowKashida"/>
      </w:pPr>
      <w:r>
        <w:t>پیوست ت: خروجی‌های آماری سه دور دلفی</w:t>
      </w:r>
    </w:p>
    <w:p>
      <w:pPr>
        <w:bidi/>
        <w:spacing w:after="60"/>
        <w:jc w:val="lowKashida"/>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همان پاسخ‌های کامل‌شده پیوست‌های ب و پ هستند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rPr>
        <w:t xml:space="preserve">NumPy</w:t>
      </w:r>
      <w:r>
        <w:rPr>
          <w:rtl/>
        </w:rPr>
        <w:t xml:space="preserve"> و </w:t>
      </w:r>
      <w:r>
        <w:rPr>
          <w:rFonts w:ascii="Times New Roman" w:hAnsi="Times New Roman" w:cs="Times New Roman" w:eastAsia="Times New Roman"/>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1"/>
        </w:numPr>
        <w:bidi/>
        <w:spacing w:after="40"/>
        <w:jc w:val="lowKashida"/>
      </w:pPr>
      <w:r>
        <w:rPr>
          <w:rtl/>
        </w:rPr>
        <w:t xml:space="preserve">میانگین، میانه و انحراف معیار (نمونه، با مخرج </w:t>
      </w:r>
      <w:r>
        <w:rPr>
          <w:rFonts w:ascii="Times New Roman" w:hAnsi="Times New Roman" w:cs="Times New Roman" w:eastAsia="Times New Roman"/>
        </w:rPr>
        <w:t xml:space="preserve">n − 1</w:t>
      </w:r>
      <w:r>
        <w:rPr>
          <w:rtl/>
        </w:rPr>
        <w:t xml:space="preserve">) هر گویه؛ چارک‌ها به روش درون‌یابی خطی (معادل </w:t>
      </w:r>
      <w:r>
        <w:rPr>
          <w:rFonts w:ascii="Times New Roman" w:hAnsi="Times New Roman" w:cs="Times New Roman" w:eastAsia="Times New Roman"/>
        </w:rPr>
        <w:t xml:space="preserve">QUARTILE.INC</w:t>
      </w:r>
      <w:r>
        <w:rPr>
          <w:rtl/>
        </w:rPr>
        <w:t xml:space="preserve"> در اکسل) و دامنه بین‌چارکی برابر </w:t>
      </w:r>
      <w:r>
        <w:rPr>
          <w:rFonts w:ascii="Times New Roman" w:hAnsi="Times New Roman" w:cs="Times New Roman" w:eastAsia="Times New Roman"/>
        </w:rPr>
        <w:t xml:space="preserve">Q3 − Q1</w:t>
      </w:r>
      <w:r>
        <w:rPr>
          <w:rtl/>
        </w:rPr>
        <w:t xml:space="preserve"> است. شمار پاسخ‌دهندگان در همه گویه‌ها ۷ است.</w:t>
      </w:r>
    </w:p>
    <w:p>
      <w:pPr>
        <w:pStyle w:val="ListParagraph"/>
        <w:numPr>
          <w:ilvl w:val="0"/>
          <w:numId w:val="1"/>
        </w:numPr>
        <w:bidi/>
        <w:spacing w:after="40"/>
        <w:jc w:val="lowKashida"/>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rPr>
        <w:t xml:space="preserve">W = 12S / [m²(n³ − n) − mΣT]</w:t>
      </w:r>
      <w:r>
        <w:rPr>
          <w:rtl/>
        </w:rPr>
        <w:t xml:space="preserve"> و </w:t>
      </w:r>
      <w:r>
        <w:rPr>
          <w:rFonts w:ascii="Times New Roman" w:hAnsi="Times New Roman" w:cs="Times New Roman" w:eastAsia="Times New Roman"/>
          <w:i/>
          <w:iCs/>
        </w:rPr>
        <w:t xml:space="preserve">χ² = m(n − 1)W</w:t>
      </w:r>
      <w:r>
        <w:rPr>
          <w:rtl/>
        </w:rPr>
        <w:t xml:space="preserve"> با </w:t>
      </w:r>
      <w:r>
        <w:rPr>
          <w:rFonts w:ascii="Times New Roman" w:hAnsi="Times New Roman" w:cs="Times New Roman" w:eastAsia="Times New Roman"/>
          <w:i/>
          <w:iCs/>
        </w:rPr>
        <w:t xml:space="preserve">df = n − 1</w:t>
      </w:r>
      <w:r>
        <w:rPr>
          <w:rtl/>
        </w:rPr>
        <w:t xml:space="preserve">؛ در اینجا </w:t>
      </w:r>
      <w:r>
        <w:rPr>
          <w:rFonts w:ascii="Times New Roman" w:hAnsi="Times New Roman" w:cs="Times New Roman" w:eastAsia="Times New Roman"/>
          <w:i/>
          <w:iCs/>
        </w:rPr>
        <w:t xml:space="preserve">m = 7</w:t>
      </w:r>
      <w:r>
        <w:rPr>
          <w:rtl/>
        </w:rPr>
        <w:t xml:space="preserve"> عضو و </w:t>
      </w:r>
      <w:r>
        <w:rPr>
          <w:rFonts w:ascii="Times New Roman" w:hAnsi="Times New Roman" w:cs="Times New Roman" w:eastAsia="Times New Roman"/>
          <w:i/>
          <w:iCs/>
        </w:rPr>
        <w:t xml:space="preserve">n = 29</w:t>
      </w:r>
      <w:r>
        <w:rPr>
          <w:rtl/>
        </w:rPr>
        <w:t xml:space="preserve"> گویه است.</w:t>
      </w:r>
    </w:p>
    <w:p>
      <w:pPr>
        <w:pStyle w:val="ListParagraph"/>
        <w:numPr>
          <w:ilvl w:val="0"/>
          <w:numId w:val="1"/>
        </w:numPr>
        <w:bidi/>
        <w:spacing w:after="40"/>
        <w:jc w:val="lowKashida"/>
      </w:pPr>
      <w:r>
        <w:rPr>
          <w:rtl/>
        </w:rPr>
        <w:t xml:space="preserve">میانگین هر مؤلفه برابر میانگین میانگین‌های گویه‌های زیرمجموعه آن است.</w:t>
      </w:r>
    </w:p>
    <w:p>
      <w:pPr>
        <w:pStyle w:val="ListParagraph"/>
        <w:numPr>
          <w:ilvl w:val="0"/>
          <w:numId w:val="1"/>
        </w:numPr>
        <w:bidi/>
        <w:spacing w:after="40"/>
        <w:jc w:val="lowKashida"/>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Heading3"/>
        <w:keepNext/>
        <w:bidi/>
        <w:spacing w:before="240" w:after="80"/>
        <w:jc w:val="lowKashida"/>
      </w:pPr>
      <w:r>
        <w:t>ت-۱ دور نخست: ماتریس کدگذاری پاسخ‌های باز</w:t>
      </w:r>
    </w:p>
    <w:p>
      <w:pPr>
        <w:bidi/>
        <w:spacing w:after="40"/>
        <w:jc w:val="lowKashida"/>
      </w:pPr>
      <w:r>
        <w:rPr>
          <w:rtl/>
        </w:rPr>
        <w:t xml:space="preserve">جدول ت-۱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r>
        <w:t xml:space="preserve">جدول ت-۱ ماتریس کدگذاری گویه‌های استخراج‌شده از دور نخست به تفکیک اعضای پانل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Heading3"/>
        <w:keepNext/>
        <w:bidi/>
        <w:spacing w:before="360" w:after="80"/>
        <w:jc w:val="lowKashida"/>
      </w:pPr>
      <w:r>
        <w:t>ت-۲ دور دوم</w:t>
      </w:r>
    </w:p>
    <w:p>
      <w:pPr>
        <w:bidi/>
        <w:spacing w:after="40"/>
        <w:jc w:val="lowKashida"/>
      </w:pPr>
      <w:r>
        <w:rPr>
          <w:rtl/>
        </w:rPr>
        <w:t xml:space="preserve">جدول ت-۲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r>
        <w:t xml:space="preserve">جدول ت-۲ ماتریس امتیازهای اهمیت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lowKashida"/>
      </w:pPr>
      <w:r>
        <w:rPr>
          <w:rtl/>
        </w:rPr>
        <w:t xml:space="preserve">جدول ت-۳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r>
        <w:t xml:space="preserve">جدول ت-۳ آمار توصیفی و میانگین رتبه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r>
        <w:t xml:space="preserve">جدول ت-۴ آمار توصیفی امتیازهای هر عضو پانل در دور دوم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ت-۵ میانگین مؤلفه‌ها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Heading3"/>
        <w:keepNext/>
        <w:bidi/>
        <w:spacing w:before="360" w:after="80"/>
        <w:jc w:val="lowKashida"/>
      </w:pPr>
      <w:r>
        <w:t>ت-۳ دور سوم</w:t>
      </w:r>
    </w:p>
    <w:p>
      <w:pPr>
        <w:bidi/>
        <w:spacing w:after="40"/>
        <w:jc w:val="lowKashida"/>
      </w:pPr>
      <w:r>
        <w:rPr>
          <w:rtl/>
        </w:rPr>
        <w:t xml:space="preserve">در دور سوم، هر عضو پانل با آگاهی از بازخورد ناشناس دور دوم (امتیاز خود و میانگین و میانه کل پانل) گویه‌ها را دوباره رتبه‌بندی کرد. جدول ت-۶ امتیازهای نهایی هر عضو را نشان می‌دهد.</w:t>
      </w:r>
    </w:p>
    <w:p>
      <w:pPr>
        <w:pStyle w:val="TableCaption"/>
        <w:keepNext/>
        <w:spacing w:before="160" w:after="80"/>
        <w:jc w:val="center"/>
        <w:rPr>
          <w:vanish/>
        </w:rPr>
      </w:pPr>
      <w:r>
        <w:t xml:space="preserve">جدول ت-۶ ماتریس امتیازهای اهمیت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lowKashida"/>
      </w:pPr>
      <w:r>
        <w:rPr>
          <w:rtl/>
        </w:rPr>
        <w:t xml:space="preserve">جدول ت-۷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r>
        <w:t xml:space="preserve">جدول ت-۷ آمار توصیفی و میانگین رتبه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r>
        <w:t xml:space="preserve">جدول ت-۸ آمار توصیفی امتیازهای هر عضو پانل در دور سوم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ت-۹ میانگین و رتبه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lowKashida"/>
      </w:pPr>
      <w:r>
        <w:rPr>
          <w:rtl/>
        </w:rPr>
        <w:t xml:space="preserve">جدول ت-۱۰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r>
        <w:t xml:space="preserve">جدول ت-۱۰ جابه‌جایی امتیازهای هر عضو پانل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Heading3"/>
        <w:keepNext/>
        <w:bidi/>
        <w:spacing w:before="360" w:after="80"/>
        <w:jc w:val="lowKashida"/>
      </w:pPr>
      <w:r>
        <w:t>ت-۴ آزمون‌های استنباطی</w:t>
      </w:r>
    </w:p>
    <w:p>
      <w:pPr>
        <w:bidi/>
        <w:spacing w:after="40"/>
        <w:jc w:val="lowKashida"/>
      </w:pPr>
      <w:r>
        <w:rPr>
          <w:rtl/>
        </w:rPr>
        <w:t xml:space="preserve">جدول ت-۱۱ نتیجه آزمون ضریب هماهنگی کندال را در دور دوم و دور سوم نشان می‌دهد (جدول ۴-۱۰). جدول ت-۱۲ ضریب همبستگی اسپیرمن میان رتبه‌بندی دو دور را در دو سطح گویه و مؤلفه گزارش می‌کند و جدول ت-۱۳ رتبه میانگین هر گویه را در دو دور آورده است (رتبه ۱ = بالاترین میانگین؛ برای میانگین‌های برابر، میانگین رتبه)؛ رتبه مؤلفه‌ها در جدول ت-۹ آمده است.</w:t>
      </w:r>
    </w:p>
    <w:p>
      <w:pPr>
        <w:pStyle w:val="TableCaption"/>
        <w:keepNext/>
        <w:spacing w:before="160" w:after="80"/>
        <w:jc w:val="center"/>
        <w:rPr>
          <w:vanish/>
        </w:rPr>
      </w:pPr>
      <w:r>
        <w:t xml:space="preserve">جدول ت-۱۱ آزمون ضریب هماهنگی کندال (W)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(m)</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(n)</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(S)</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(ΣT)</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(df)</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(p)</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r>
        <w:t xml:space="preserve">جدول ت-۱۲ ضریب همبستگی رتبه‌ای اسپیرمن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r>
        <w:t xml:space="preserve">جدول ت-۱۳ میانگین و رتبه گویه‌ها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jc w:val="lowKashida"/>
      </w:pPr>
      <w:r>
        <w:t>پیوست ث: صنعت مواد غذایی ایران در یک نگاه</w:t>
      </w:r>
    </w:p>
    <w:p>
      <w:pPr>
        <w:bidi/>
        <w:spacing w:after="60"/>
        <w:jc w:val="lowKashida"/>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Heading3"/>
        <w:keepNext/>
        <w:bidi/>
        <w:spacing w:before="120" w:after="80"/>
        <w:jc w:val="lowKashida"/>
      </w:pPr>
      <w:r>
        <w:t>ث-۱ تعریف و دامنه صنعت</w:t>
      </w:r>
    </w:p>
    <w:p>
      <w:pPr>
        <w:bidi/>
        <w:spacing w:after="60"/>
        <w:jc w:val="lowKashida"/>
      </w:pPr>
      <w:r>
        <w:rPr>
          <w:rtl/>
        </w:rPr>
        <w:t xml:space="preserve">صنعت مواد غذایی مجموعه فعالیت‌های تولید، فرآوری، بسته‌بندی و توزیع محصولات خوراکی و آشامیدنی است (بخش ۱-۸-۳). در طبقه‌بندی بین‌المللی فعالیت‌های اقتصادی (</w:t>
      </w:r>
      <w:r>
        <w:rPr>
          <w:rFonts w:ascii="Times New Roman" w:hAnsi="Times New Roman" w:cs="Times New Roman" w:eastAsia="Times New Roman"/>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Heading3"/>
        <w:keepNext/>
        <w:bidi/>
        <w:spacing w:before="120" w:after="80"/>
        <w:jc w:val="lowKashida"/>
      </w:pPr>
      <w:r>
        <w:t>ث-۲ جایگاه اقتصادی</w:t>
      </w:r>
    </w:p>
    <w:p>
      <w:pPr>
        <w:keepNext/>
        <w:bidi/>
        <w:spacing w:after="0"/>
        <w:jc w:val="lowKashida"/>
      </w:pPr>
      <w:r>
        <w:rPr>
          <w:rtl/>
        </w:rPr>
        <w:t xml:space="preserve">صنایع غذایی بخش قابل‌توجهی از اشتغال و ارزش افزوده صنعتی کشور را در بر می‌گیرد. جدول ث-۱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r>
        <w:t xml:space="preserve">جدول ث-۱ شاخص‌های گزارش‌شده درباره صنعت مواد غذایی ایران (منبع: خبرگزاری مهر، ۱۴۰۳)</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Heading3"/>
        <w:keepNext/>
        <w:bidi/>
        <w:spacing w:before="120" w:after="80"/>
        <w:jc w:val="lowKashida"/>
      </w:pPr>
      <w:r>
        <w:t>ث-۳ نهاده‌ها و زنجیره تأمین</w:t>
      </w:r>
    </w:p>
    <w:p>
      <w:pPr>
        <w:bidi/>
        <w:spacing w:after="60"/>
        <w:jc w:val="lowKashida"/>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Heading3"/>
        <w:keepNext/>
        <w:bidi/>
        <w:spacing w:before="120" w:after="80"/>
        <w:jc w:val="lowKashida"/>
      </w:pPr>
      <w:r>
        <w:t>ث-۴ توزیع و فروش</w:t>
      </w:r>
    </w:p>
    <w:p>
      <w:pPr>
        <w:bidi/>
        <w:spacing w:after="60"/>
        <w:jc w:val="lowKashida"/>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Heading3"/>
        <w:keepNext/>
        <w:bidi/>
        <w:spacing w:before="120" w:after="80"/>
        <w:jc w:val="lowKashida"/>
      </w:pPr>
      <w:r>
        <w:t>ث-۵ مقررات و قیمت‌گذاری</w:t>
      </w:r>
    </w:p>
    <w:p>
      <w:pPr>
        <w:bidi/>
        <w:spacing w:after="60"/>
        <w:jc w:val="lowKashida"/>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Heading3"/>
        <w:keepNext/>
        <w:bidi/>
        <w:spacing w:before="120" w:after="80"/>
        <w:jc w:val="lowKashida"/>
      </w:pPr>
      <w:r>
        <w:t>ث-۶ جمع‌بندی و پیوند با پژوهش</w:t>
      </w:r>
    </w:p>
    <w:p>
      <w:pPr>
        <w:bidi/>
        <w:spacing w:after="0"/>
        <w:jc w:val="lowKashida"/>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پیوست‌ها</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