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A355D" w14:textId="0E02DC9E" w:rsidR="006B24D8" w:rsidRDefault="0022525F" w:rsidP="0022525F">
      <w:pPr>
        <w:pStyle w:val="Heading1"/>
        <w:bidi/>
        <w:spacing w:before="5600"/>
        <w:jc w:val="center"/>
        <w:rPr>
          <w:rFonts w:cs="B Titr"/>
          <w:sz w:val="40"/>
          <w:szCs w:val="40"/>
          <w:rtl w:val="0"/>
        </w:rPr>
      </w:pPr>
      <w:r>
        <w:rPr>
          <w:rFonts w:cs="B Titr"/>
          <w:sz w:val="40"/>
          <w:szCs w:val="40"/>
        </w:rPr>
        <w:t>فصل اول: کلیات پژوهش</w:t>
      </w:r>
    </w:p>
    <w:p w14:paraId="1ED65113" w14:textId="77777777" w:rsidR="0022525F" w:rsidRDefault="0022525F" w:rsidP="0022525F">
      <w:pPr>
        <w:pStyle w:val="Heading1"/>
        <w:bidi/>
        <w:spacing w:before="5600"/>
        <w:rPr>
          <w:rFonts w:cs="B Titr"/>
          <w:sz w:val="40"/>
          <w:szCs w:val="40"/>
        </w:rPr>
      </w:pPr>
    </w:p>
    <w:p w14:paraId="3F3DE742" w14:textId="77777777" w:rsidR="006B24D8" w:rsidRDefault="006B24D8">
      <w:pPr>
        <w:bidi/>
        <w:jc w:val="both"/>
      </w:pPr>
    </w:p>
    <w:p w14:paraId="44DDAAD7" w14:textId="77777777" w:rsidR="006B24D8" w:rsidRDefault="0022525F">
      <w:pPr>
        <w:pStyle w:val="Heading2"/>
        <w:keepNext/>
        <w:bidi/>
        <w:spacing w:before="240" w:after="80"/>
        <w:rPr>
          <w:sz w:val="32"/>
          <w:szCs w:val="32"/>
        </w:rPr>
      </w:pPr>
      <w:r>
        <w:rPr>
          <w:sz w:val="32"/>
          <w:szCs w:val="32"/>
        </w:rPr>
        <w:t>۱-۱ مقدمه</w:t>
      </w:r>
    </w:p>
    <w:p w14:paraId="06EFC81C" w14:textId="77777777" w:rsidR="006B24D8" w:rsidRDefault="0022525F">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14:paraId="37DC9105" w14:textId="77777777" w:rsidR="006B24D8" w:rsidRDefault="0022525F">
      <w:pPr>
        <w:bidi/>
        <w:spacing w:after="80"/>
        <w:ind w:firstLine="720"/>
        <w:jc w:val="both"/>
      </w:pPr>
      <w:r>
        <w:rPr>
          <w:rtl/>
        </w:rPr>
        <w:t>سرتیترهای این فصل به ترتیب عبارت‌اند از: بیان مسئله (۱-۲)، اهمیت و ضرورت پژوهش (۱-۳)، اهداف پژوهش (۱-۴)، پرسش‌های پژوهش (۱-۵)، فرضیه‌ه</w:t>
      </w:r>
      <w:r>
        <w:rPr>
          <w:rtl/>
        </w:rPr>
        <w:t>ای پژوهش (۱-۶)، قلمروهای پژوهش (۱-۷) و تعاریف مفهومی و عملیاتی (۱-۸).</w:t>
      </w:r>
    </w:p>
    <w:p w14:paraId="23B44529" w14:textId="77777777" w:rsidR="006B24D8" w:rsidRDefault="0022525F">
      <w:pPr>
        <w:pStyle w:val="Heading2"/>
        <w:keepNext/>
        <w:bidi/>
        <w:spacing w:before="240" w:after="80"/>
        <w:rPr>
          <w:sz w:val="32"/>
          <w:szCs w:val="32"/>
        </w:rPr>
      </w:pPr>
      <w:r>
        <w:rPr>
          <w:sz w:val="32"/>
          <w:szCs w:val="32"/>
        </w:rPr>
        <w:t>۱-۲ بیان مسئله</w:t>
      </w:r>
    </w:p>
    <w:p w14:paraId="55CDEF4A" w14:textId="77777777" w:rsidR="006B24D8" w:rsidRDefault="0022525F">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14:paraId="55578468" w14:textId="77777777" w:rsidR="006B24D8" w:rsidRDefault="0022525F">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14:paraId="484E4EBA" w14:textId="77777777" w:rsidR="006B24D8" w:rsidRDefault="0022525F">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14:paraId="7F2F001F" w14:textId="77777777" w:rsidR="006B24D8" w:rsidRDefault="0022525F">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14:paraId="1C62C9C6" w14:textId="77777777" w:rsidR="006B24D8" w:rsidRDefault="0022525F">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14:paraId="72F456ED" w14:textId="77777777" w:rsidR="006B24D8" w:rsidRDefault="0022525F">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14:paraId="22B7A4B5" w14:textId="77777777" w:rsidR="006B24D8" w:rsidRDefault="0022525F">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14:paraId="145C9186" w14:textId="77777777" w:rsidR="006B24D8" w:rsidRDefault="0022525F">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14:paraId="3E476F29" w14:textId="77777777" w:rsidR="006B24D8" w:rsidRDefault="0022525F">
      <w:pPr>
        <w:pStyle w:val="Heading2"/>
        <w:keepNext/>
        <w:bidi/>
        <w:spacing w:before="240" w:after="80"/>
        <w:rPr>
          <w:sz w:val="32"/>
          <w:szCs w:val="32"/>
        </w:rPr>
      </w:pPr>
      <w:r>
        <w:rPr>
          <w:sz w:val="32"/>
          <w:szCs w:val="32"/>
        </w:rPr>
        <w:t>۱-۳ اهمیت و ضرورت</w:t>
      </w:r>
    </w:p>
    <w:p w14:paraId="55805B8C" w14:textId="23586E30" w:rsidR="006B24D8" w:rsidRDefault="0022525F">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فرضیات کلی پیش‌ساخته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اولویت‌بندی کرده است، به غنای دانش مدیریت فروش می‌افزاید.</w:t>
      </w:r>
    </w:p>
    <w:p w14:paraId="3844FA07" w14:textId="2CDBF911" w:rsidR="006B24D8" w:rsidRDefault="0022525F">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14:paraId="4938B529" w14:textId="77777777" w:rsidR="006B24D8" w:rsidRDefault="0022525F">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14:paraId="1F8ABED6" w14:textId="77777777" w:rsidR="006B24D8" w:rsidRDefault="0022525F">
      <w:pPr>
        <w:pStyle w:val="Heading2"/>
        <w:keepNext/>
        <w:bidi/>
        <w:spacing w:before="240" w:after="80"/>
        <w:rPr>
          <w:sz w:val="32"/>
          <w:szCs w:val="32"/>
        </w:rPr>
      </w:pPr>
      <w:r>
        <w:rPr>
          <w:sz w:val="32"/>
          <w:szCs w:val="32"/>
        </w:rPr>
        <w:t>۱-۴ اهداف تحقیق</w:t>
      </w:r>
    </w:p>
    <w:p w14:paraId="28C7E286" w14:textId="77777777" w:rsidR="006B24D8" w:rsidRDefault="0022525F">
      <w:pPr>
        <w:pStyle w:val="ListParagraph"/>
        <w:numPr>
          <w:ilvl w:val="0"/>
          <w:numId w:val="1"/>
        </w:numPr>
        <w:bidi/>
        <w:spacing w:after="80"/>
        <w:jc w:val="both"/>
      </w:pPr>
      <w:r>
        <w:rPr>
          <w:rtl/>
        </w:rPr>
        <w:t>شناسایی چالش‌های فروش در شرکت‌های تک‌محصولی فعال در صنعت مواد غذایی.</w:t>
      </w:r>
    </w:p>
    <w:p w14:paraId="1749ECCC" w14:textId="77777777" w:rsidR="006B24D8" w:rsidRDefault="0022525F">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14:paraId="0A0E17D8" w14:textId="77777777" w:rsidR="006B24D8" w:rsidRDefault="0022525F">
      <w:pPr>
        <w:pStyle w:val="Heading2"/>
        <w:keepNext/>
        <w:bidi/>
        <w:spacing w:before="240" w:after="80"/>
        <w:rPr>
          <w:sz w:val="32"/>
          <w:szCs w:val="32"/>
        </w:rPr>
      </w:pPr>
      <w:r>
        <w:rPr>
          <w:sz w:val="32"/>
          <w:szCs w:val="32"/>
        </w:rPr>
        <w:t>۱-۵ پرسش‌های تحقیق</w:t>
      </w:r>
    </w:p>
    <w:p w14:paraId="59B562C1" w14:textId="77777777" w:rsidR="006B24D8" w:rsidRDefault="0022525F">
      <w:pPr>
        <w:pStyle w:val="ListParagraph"/>
        <w:numPr>
          <w:ilvl w:val="0"/>
          <w:numId w:val="2"/>
        </w:numPr>
        <w:bidi/>
        <w:spacing w:after="80"/>
        <w:jc w:val="both"/>
      </w:pPr>
      <w:r>
        <w:rPr>
          <w:rtl/>
        </w:rPr>
        <w:t>چالش‌های فروش در شرکت‌های تک‌محصولی فعال در صنعت مواد غذایی کدام‌اند؟</w:t>
      </w:r>
    </w:p>
    <w:p w14:paraId="1E9A632D" w14:textId="77777777" w:rsidR="006B24D8" w:rsidRDefault="0022525F">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14:paraId="23DB7FC1" w14:textId="77777777" w:rsidR="006B24D8" w:rsidRDefault="0022525F">
      <w:pPr>
        <w:pStyle w:val="Heading2"/>
        <w:keepNext/>
        <w:bidi/>
        <w:spacing w:before="240" w:after="80"/>
        <w:rPr>
          <w:sz w:val="32"/>
          <w:szCs w:val="32"/>
        </w:rPr>
      </w:pPr>
      <w:r>
        <w:rPr>
          <w:sz w:val="32"/>
          <w:szCs w:val="32"/>
        </w:rPr>
        <w:t>۱-۶ فرضیه‌های پژوهش</w:t>
      </w:r>
    </w:p>
    <w:p w14:paraId="36C0D0C0" w14:textId="6B53550C" w:rsidR="006B24D8" w:rsidRPr="0022525F" w:rsidRDefault="0022525F" w:rsidP="0022525F">
      <w:pPr>
        <w:bidi/>
        <w:jc w:val="both"/>
      </w:pPr>
      <w:r w:rsidRPr="0022525F">
        <w:rPr>
          <w:rtl/>
        </w:rPr>
        <w:t xml:space="preserve">پرسش نخست پژوهش </w:t>
      </w:r>
      <w:r w:rsidRPr="0022525F">
        <w:rPr>
          <w:rFonts w:hint="cs"/>
          <w:rtl/>
        </w:rPr>
        <w:t>شناسایی</w:t>
      </w:r>
      <w:r w:rsidRPr="0022525F">
        <w:rPr>
          <w:rtl/>
        </w:rPr>
        <w:t xml:space="preserve"> </w:t>
      </w:r>
      <w:r w:rsidRPr="0022525F">
        <w:rPr>
          <w:rFonts w:hint="cs"/>
          <w:rtl/>
        </w:rPr>
        <w:t>چالش‌های</w:t>
      </w:r>
      <w:r w:rsidRPr="0022525F">
        <w:rPr>
          <w:rtl/>
        </w:rPr>
        <w:t xml:space="preserve"> </w:t>
      </w:r>
      <w:r w:rsidRPr="0022525F">
        <w:rPr>
          <w:rFonts w:hint="cs"/>
          <w:rtl/>
        </w:rPr>
        <w:t>فروش</w:t>
      </w:r>
      <w:r w:rsidRPr="0022525F">
        <w:rPr>
          <w:rtl/>
        </w:rPr>
        <w:t xml:space="preserve"> </w:t>
      </w:r>
      <w:r w:rsidRPr="0022525F">
        <w:rPr>
          <w:rFonts w:hint="cs"/>
          <w:rtl/>
        </w:rPr>
        <w:t>ماهیتی</w:t>
      </w:r>
      <w:r w:rsidRPr="0022525F">
        <w:rPr>
          <w:rtl/>
        </w:rPr>
        <w:t xml:space="preserve"> </w:t>
      </w:r>
      <w:r w:rsidRPr="0022525F">
        <w:rPr>
          <w:rFonts w:hint="cs"/>
          <w:rtl/>
        </w:rPr>
        <w:t>اکتشافی</w:t>
      </w:r>
      <w:r w:rsidRPr="0022525F">
        <w:rPr>
          <w:rtl/>
        </w:rPr>
        <w:t xml:space="preserve"> </w:t>
      </w:r>
      <w:r w:rsidRPr="0022525F">
        <w:rPr>
          <w:rFonts w:hint="cs"/>
          <w:rtl/>
        </w:rPr>
        <w:t>و</w:t>
      </w:r>
      <w:r w:rsidRPr="0022525F">
        <w:rPr>
          <w:rtl/>
        </w:rPr>
        <w:t xml:space="preserve"> </w:t>
      </w:r>
      <w:r w:rsidRPr="0022525F">
        <w:rPr>
          <w:rFonts w:hint="cs"/>
          <w:rtl/>
        </w:rPr>
        <w:t>کی</w:t>
      </w:r>
      <w:r w:rsidRPr="0022525F">
        <w:rPr>
          <w:rtl/>
        </w:rPr>
        <w:t xml:space="preserve">فی دارد و از آنجا که فهرست چالش‌ها پیش از اجرای دور نخست دلفی در دست نیست، فرضیه آزمون‌پذیری برای آن صورت‌بندی نمی‌شود. اما پرسش دوم پژوهش </w:t>
      </w:r>
      <w:r w:rsidRPr="0022525F">
        <w:rPr>
          <w:rFonts w:hint="cs"/>
          <w:rtl/>
        </w:rPr>
        <w:t>اولویت‌بندی</w:t>
      </w:r>
      <w:r w:rsidRPr="0022525F">
        <w:rPr>
          <w:rtl/>
        </w:rPr>
        <w:t xml:space="preserve"> </w:t>
      </w:r>
      <w:r w:rsidRPr="0022525F">
        <w:rPr>
          <w:rFonts w:hint="cs"/>
          <w:rtl/>
        </w:rPr>
        <w:t>این</w:t>
      </w:r>
      <w:r w:rsidRPr="0022525F">
        <w:rPr>
          <w:rtl/>
        </w:rPr>
        <w:t xml:space="preserve"> </w:t>
      </w:r>
      <w:r w:rsidRPr="0022525F">
        <w:rPr>
          <w:rFonts w:hint="cs"/>
          <w:rtl/>
        </w:rPr>
        <w:t>چالش‌ها</w:t>
      </w:r>
      <w:r w:rsidRPr="0022525F">
        <w:rPr>
          <w:rtl/>
        </w:rPr>
        <w:t xml:space="preserve"> </w:t>
      </w:r>
      <w:r w:rsidRPr="0022525F">
        <w:rPr>
          <w:rFonts w:hint="cs"/>
          <w:rtl/>
        </w:rPr>
        <w:t>از</w:t>
      </w:r>
      <w:r w:rsidRPr="0022525F">
        <w:rPr>
          <w:rtl/>
        </w:rPr>
        <w:t xml:space="preserve"> </w:t>
      </w:r>
      <w:r w:rsidRPr="0022525F">
        <w:rPr>
          <w:rFonts w:hint="cs"/>
          <w:rtl/>
        </w:rPr>
        <w:t>طریق</w:t>
      </w:r>
      <w:r w:rsidRPr="0022525F">
        <w:rPr>
          <w:rtl/>
        </w:rPr>
        <w:t xml:space="preserve"> </w:t>
      </w:r>
      <w:r w:rsidRPr="0022525F">
        <w:rPr>
          <w:rFonts w:hint="cs"/>
          <w:rtl/>
        </w:rPr>
        <w:t>اجماع</w:t>
      </w:r>
      <w:r w:rsidRPr="0022525F">
        <w:rPr>
          <w:rtl/>
        </w:rPr>
        <w:t xml:space="preserve"> </w:t>
      </w:r>
      <w:r w:rsidRPr="0022525F">
        <w:rPr>
          <w:rFonts w:hint="cs"/>
          <w:rtl/>
        </w:rPr>
        <w:t>پانل</w:t>
      </w:r>
      <w:r w:rsidRPr="0022525F">
        <w:rPr>
          <w:rtl/>
        </w:rPr>
        <w:t xml:space="preserve"> </w:t>
      </w:r>
      <w:r w:rsidRPr="0022525F">
        <w:rPr>
          <w:rFonts w:hint="cs"/>
          <w:rtl/>
        </w:rPr>
        <w:t>دلفی</w:t>
      </w:r>
      <w:r w:rsidRPr="0022525F">
        <w:rPr>
          <w:rtl/>
        </w:rPr>
        <w:t xml:space="preserve"> </w:t>
      </w:r>
      <w:r w:rsidRPr="0022525F">
        <w:rPr>
          <w:rFonts w:hint="cs"/>
          <w:rtl/>
        </w:rPr>
        <w:t>ماهیتی</w:t>
      </w:r>
      <w:r w:rsidRPr="0022525F">
        <w:rPr>
          <w:rtl/>
        </w:rPr>
        <w:t xml:space="preserve"> </w:t>
      </w:r>
      <w:r w:rsidRPr="0022525F">
        <w:rPr>
          <w:rFonts w:hint="cs"/>
          <w:rtl/>
        </w:rPr>
        <w:t>سنجش‌پذیر</w:t>
      </w:r>
      <w:r w:rsidRPr="0022525F">
        <w:rPr>
          <w:rtl/>
        </w:rPr>
        <w:t xml:space="preserve"> </w:t>
      </w:r>
      <w:r w:rsidRPr="0022525F">
        <w:rPr>
          <w:rFonts w:hint="cs"/>
          <w:rtl/>
        </w:rPr>
        <w:t>دارد</w:t>
      </w:r>
      <w:r w:rsidRPr="0022525F">
        <w:rPr>
          <w:rtl/>
        </w:rPr>
        <w:t xml:space="preserve"> </w:t>
      </w:r>
      <w:r w:rsidRPr="0022525F">
        <w:rPr>
          <w:rFonts w:hint="cs"/>
          <w:rtl/>
        </w:rPr>
        <w:t>و</w:t>
      </w:r>
      <w:r w:rsidRPr="0022525F">
        <w:rPr>
          <w:rtl/>
        </w:rPr>
        <w:t xml:space="preserve"> </w:t>
      </w:r>
      <w:r w:rsidRPr="0022525F">
        <w:rPr>
          <w:rFonts w:hint="cs"/>
          <w:rtl/>
        </w:rPr>
        <w:t>امکان</w:t>
      </w:r>
      <w:r w:rsidRPr="0022525F">
        <w:rPr>
          <w:rtl/>
        </w:rPr>
        <w:t xml:space="preserve"> </w:t>
      </w:r>
      <w:r w:rsidRPr="0022525F">
        <w:rPr>
          <w:rFonts w:hint="cs"/>
          <w:rtl/>
        </w:rPr>
        <w:t>صورت‌بندی</w:t>
      </w:r>
      <w:r w:rsidRPr="0022525F">
        <w:rPr>
          <w:rtl/>
        </w:rPr>
        <w:t xml:space="preserve"> </w:t>
      </w:r>
      <w:r w:rsidRPr="0022525F">
        <w:rPr>
          <w:rFonts w:hint="cs"/>
          <w:rtl/>
        </w:rPr>
        <w:t>فرضیه</w:t>
      </w:r>
      <w:r w:rsidRPr="0022525F">
        <w:rPr>
          <w:rtl/>
        </w:rPr>
        <w:t xml:space="preserve"> </w:t>
      </w:r>
      <w:r w:rsidRPr="0022525F">
        <w:rPr>
          <w:rFonts w:hint="cs"/>
          <w:rtl/>
        </w:rPr>
        <w:t>آماری</w:t>
      </w:r>
      <w:r w:rsidRPr="0022525F">
        <w:rPr>
          <w:rtl/>
        </w:rPr>
        <w:t xml:space="preserve"> </w:t>
      </w:r>
      <w:r w:rsidRPr="0022525F">
        <w:rPr>
          <w:rFonts w:hint="cs"/>
          <w:rtl/>
        </w:rPr>
        <w:t>درباره</w:t>
      </w:r>
      <w:r w:rsidRPr="0022525F">
        <w:rPr>
          <w:rtl/>
        </w:rPr>
        <w:t xml:space="preserve"> </w:t>
      </w:r>
      <w:r w:rsidRPr="0022525F">
        <w:rPr>
          <w:rFonts w:hint="cs"/>
          <w:rtl/>
        </w:rPr>
        <w:t>معنادا</w:t>
      </w:r>
      <w:r>
        <w:rPr>
          <w:rtl/>
        </w:rPr>
        <w:t xml:space="preserve">ری و ثبات این اجماع را، از طریق آزمون‌هایی مانند </w:t>
      </w:r>
      <w:r>
        <w:rPr>
          <w:rtl/>
        </w:rPr>
        <w:t xml:space="preserve">ضریب هماهنگی کندال (اشمیت، ۱۹۹۷)</w:t>
      </w:r>
      <w:r>
        <w:rPr>
          <w:rStyle w:val="FootnoteReference"/>
        </w:rPr>
        <w:footnoteReference w:id="7"/>
      </w:r>
      <w:r>
        <w:rPr>
          <w:rtl/>
        </w:rPr>
        <w:t xml:space="preserve">، فراهم می‌آورد</w:t>
      </w:r>
      <w:r>
        <w:rPr>
          <w:rtl/>
        </w:rPr>
        <w:t xml:space="preserve">. بر همین اساس، فرضیه‌های پژوهش حاضر نه درباره محتوای چالش‌ها، بلکه درباره اعتبار آماری فرایند اجماع‌سازی دلفی صورت‌بندی شده‌اند:</w:t>
      </w:r>
    </w:p>
    <w:p w14:paraId="2E7BFDC5" w14:textId="77777777" w:rsidR="006B24D8" w:rsidRDefault="0022525F">
      <w:pPr>
        <w:bidi/>
        <w:spacing w:after="80"/>
        <w:ind w:firstLine="720"/>
        <w:jc w:val="both"/>
      </w:pPr>
      <w:r>
        <w:rPr>
          <w:rtl/>
        </w:rPr>
        <w:t xml:space="preserve">فرضیه اول: میان </w:t>
      </w:r>
      <w:r>
        <w:rPr>
          <w:rtl/>
        </w:rPr>
        <w:t>رتبه‌بندی گویه‌های چالش فروش توسط اعضای پانل خبرگان در دور نهایی دلفی، توافق (اجماع) معناداری وجود دارد.</w:t>
      </w:r>
    </w:p>
    <w:p w14:paraId="65C336DF" w14:textId="77777777" w:rsidR="006B24D8" w:rsidRDefault="0022525F">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 به بیان دیگر، فرایند دلفی در پژوهش حا</w:t>
      </w:r>
      <w:r>
        <w:rPr>
          <w:rtl/>
        </w:rPr>
        <w:t>ضر به ثبات آماری رسیده است.</w:t>
      </w:r>
    </w:p>
    <w:p w14:paraId="0D1CEDB8" w14:textId="77777777" w:rsidR="006B24D8" w:rsidRDefault="0022525F">
      <w:pPr>
        <w:bidi/>
        <w:spacing w:after="80"/>
        <w:ind w:firstLine="720"/>
        <w:jc w:val="both"/>
      </w:pPr>
      <w:r>
        <w:rPr>
          <w:rtl/>
        </w:rPr>
        <w:t>این دو فرضیه، به ترتیب با آزمون ضریب هماهنگی کندال (W) و آزمون همبستگی رتبه‌ای میان دورهای دوم و سوم سنجیده می‌شوند؛ شرح کامل این آزمون‌ها در بخش ۴-۲-۲ و نتایج آزمون فرضیه‌ها در بخش ۴-۲-۳ ارائه شده است.</w:t>
      </w:r>
    </w:p>
    <w:p w14:paraId="29D8641E" w14:textId="77777777" w:rsidR="006B24D8" w:rsidRDefault="0022525F">
      <w:pPr>
        <w:pStyle w:val="Heading2"/>
        <w:keepNext/>
        <w:bidi/>
        <w:spacing w:before="240" w:after="80"/>
        <w:rPr>
          <w:sz w:val="32"/>
          <w:szCs w:val="32"/>
        </w:rPr>
      </w:pPr>
      <w:r>
        <w:rPr>
          <w:sz w:val="32"/>
          <w:szCs w:val="32"/>
        </w:rPr>
        <w:t>۱-۷ قلمروهای تحقیق</w:t>
      </w:r>
    </w:p>
    <w:p w14:paraId="6D85962E" w14:textId="77777777" w:rsidR="006B24D8" w:rsidRDefault="0022525F">
      <w:pPr>
        <w:pStyle w:val="Heading3"/>
        <w:keepNext/>
        <w:bidi/>
        <w:spacing w:before="180" w:after="80"/>
      </w:pPr>
      <w:r>
        <w:t xml:space="preserve">۱-۷-۱ </w:t>
      </w:r>
      <w:r>
        <w:t>قلمرو موضوعی</w:t>
      </w:r>
    </w:p>
    <w:p w14:paraId="38DF6743" w14:textId="77777777" w:rsidR="006B24D8" w:rsidRDefault="0022525F">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14:paraId="6D893540" w14:textId="77777777" w:rsidR="006B24D8" w:rsidRDefault="0022525F">
      <w:pPr>
        <w:pStyle w:val="Heading3"/>
        <w:keepNext/>
        <w:bidi/>
        <w:spacing w:before="180" w:after="80"/>
      </w:pPr>
      <w:r>
        <w:t>۱-۷-۲ قلمرو مکانی</w:t>
      </w:r>
    </w:p>
    <w:p w14:paraId="43CCD621" w14:textId="77777777" w:rsidR="006B24D8" w:rsidRDefault="0022525F">
      <w:pPr>
        <w:bidi/>
        <w:spacing w:after="80"/>
        <w:ind w:firstLine="720"/>
        <w:jc w:val="both"/>
      </w:pPr>
      <w:r>
        <w:rPr>
          <w:rtl/>
        </w:rPr>
        <w:t>قلمرو مکانی پژوهش، شرکت‌های تک‌محصولی فعال در صنعت مواد غذایی استان‌های ایران از جمله خراسان رضوی است.</w:t>
      </w:r>
    </w:p>
    <w:p w14:paraId="243F8FD3" w14:textId="77777777" w:rsidR="006B24D8" w:rsidRDefault="0022525F">
      <w:pPr>
        <w:pStyle w:val="Heading3"/>
        <w:keepNext/>
        <w:bidi/>
        <w:spacing w:before="180" w:after="80"/>
      </w:pPr>
      <w:r>
        <w:t>۱-۷-۳ قلمرو زمانی</w:t>
      </w:r>
    </w:p>
    <w:p w14:paraId="357D5158" w14:textId="77777777" w:rsidR="006B24D8" w:rsidRDefault="0022525F">
      <w:pPr>
        <w:bidi/>
        <w:spacing w:after="80"/>
        <w:ind w:firstLine="720"/>
        <w:jc w:val="both"/>
      </w:pPr>
      <w:r>
        <w:rPr>
          <w:rtl/>
        </w:rPr>
        <w:t>داده‌های میدانی این پژوهش در بازه زمانی اردیبهشت تا پایان شهریورماه سال ۱۴۰۵ گردآوری شد.</w:t>
      </w:r>
    </w:p>
    <w:p w14:paraId="23A65F95" w14:textId="77777777" w:rsidR="006B24D8" w:rsidRDefault="0022525F">
      <w:pPr>
        <w:pStyle w:val="Heading2"/>
        <w:keepNext/>
        <w:bidi/>
        <w:spacing w:before="240" w:after="80"/>
        <w:rPr>
          <w:sz w:val="32"/>
          <w:szCs w:val="32"/>
        </w:rPr>
      </w:pPr>
      <w:r>
        <w:rPr>
          <w:sz w:val="32"/>
          <w:szCs w:val="32"/>
        </w:rPr>
        <w:t>۱-۸ تعاریف مفهومی</w:t>
      </w:r>
    </w:p>
    <w:p w14:paraId="40AD9CF6" w14:textId="77777777" w:rsidR="006B24D8" w:rsidRDefault="0022525F">
      <w:pPr>
        <w:pStyle w:val="Heading3"/>
        <w:keepNext/>
        <w:bidi/>
        <w:spacing w:before="180" w:after="80"/>
      </w:pPr>
      <w:r>
        <w:t>۱-۸-۱ چالش‌های فروش</w:t>
      </w:r>
    </w:p>
    <w:p w14:paraId="5F6B6E4B" w14:textId="77777777" w:rsidR="006B24D8" w:rsidRDefault="0022525F">
      <w:pPr>
        <w:bidi/>
        <w:spacing w:after="80"/>
        <w:ind w:firstLine="720"/>
        <w:jc w:val="both"/>
      </w:pPr>
      <w:r>
        <w:rPr>
          <w:rtl/>
        </w:rPr>
        <w:t>تعریف مفهومی: چالش‌های فروش به مجموعه موانع، محدودیت‌ها و مشکلاتی اطلاق می‌شود که فرایند تبدیل محصول به درآمد را مختل می‌کنند و در نهایت خود را به شکل کاهش حجم فروش، کاهش حاشیه سود یا از دست رفتن سهم بازار نشان می‌دهند. این موانع را می‌توان بر پایه خاستگاه</w:t>
      </w:r>
      <w:r>
        <w:rPr>
          <w:rtl/>
        </w:rPr>
        <w:t>شان به دو دسته تقسیم کرد. دسته نخست، عوامل درون‌سازمانی است که ریشه در ساختار، منابع و فرایندهای خود بنگاه دارد؛ مانند ضعف در برنامه‌ریزی و پیش‌بینی فروش، ناکارآمدی کانال‌های توزیع، ضعف برندسازی و محدودیت منابع مالی. دسته دوم، عوامل برون‌سازمانی و محیطی اس</w:t>
      </w:r>
      <w:r>
        <w:rPr>
          <w:rtl/>
        </w:rPr>
        <w:t xml:space="preserve">ت که خارج از کنترل مستقیم بنگاه قرار دارد؛ مانند شدت رقابت، تحولات رفتار مصرف‌کننده، ناپایداری تأمین مواد اولیه و فشارهای اقتصاد کلان </w:t>
      </w:r>
      <w:r>
        <w:rPr>
          <w:rtl/>
        </w:rPr>
        <w:t xml:space="preserve">(شرح تفصیلی این دو دسته در بخش ۲-۲-۳ آمده است)</w:t>
      </w:r>
      <w:r>
        <w:rPr>
          <w:rtl/>
        </w:rPr>
        <w:t xml:space="preserve">.</w:t>
      </w:r>
    </w:p>
    <w:p w14:paraId="377326C9" w14:textId="77777777" w:rsidR="006B24D8" w:rsidRDefault="0022525F">
      <w:pPr>
        <w:pStyle w:val="Heading3"/>
        <w:keepNext/>
        <w:bidi/>
        <w:spacing w:before="180" w:after="80"/>
      </w:pPr>
      <w:r>
        <w:t>۱-۸-۲ شرکت‌های تک‌محصولی</w:t>
      </w:r>
    </w:p>
    <w:p w14:paraId="57A3CA4E" w14:textId="77777777" w:rsidR="006B24D8" w:rsidRDefault="0022525F">
      <w:pPr>
        <w:bidi/>
        <w:spacing w:after="80"/>
        <w:ind w:firstLine="720"/>
        <w:jc w:val="both"/>
      </w:pPr>
      <w:r>
        <w:rPr>
          <w:rtl/>
        </w:rPr>
        <w:t>تعریف مفهومی: شرکت تک‌محصولی بنگاهی است ک</w:t>
      </w:r>
      <w:r>
        <w:rPr>
          <w:rtl/>
        </w:rPr>
        <w:t>ه دامنه فعالیت تولیدی و درآمدی آن بر یک محصول اصلی متمرکز است. رابطه تنوع‌یابی با عملکرد بنگاه در ادبیات مدیریت استراتژیک سال‌هاست موضوع پژوهش بوده است (شومر و همکاران، ۲۰۱۹)</w:t>
      </w:r>
      <w:r>
        <w:rPr>
          <w:rStyle w:val="FootnoteReference"/>
        </w:rPr>
        <w:footnoteReference w:id="8"/>
      </w:r>
      <w:r>
        <w:rPr>
          <w:rtl/>
        </w:rPr>
        <w:t>. ویژگی تعیین‌کننده چنین بنگاهی، نبود سازوکار جبران درونی است. مامن و همکاران (۲</w:t>
      </w:r>
      <w:r>
        <w:rPr>
          <w:rtl/>
        </w:rPr>
        <w:t>۰۲۱)</w:t>
      </w:r>
      <w:r>
        <w:rPr>
          <w:rStyle w:val="FootnoteReference"/>
        </w:rPr>
        <w:footnoteReference w:id="9"/>
      </w:r>
      <w:r>
        <w:rPr>
          <w:rtl/>
        </w:rPr>
        <w:t xml:space="preserve"> نشان داده‌اند که تنوع محصولی ریسک بنگاه را کاهش می‌دهد؛ </w:t>
      </w:r>
      <w:r>
        <w:rPr>
          <w:rtl/>
        </w:rPr>
        <w:t xml:space="preserve">بر این پایه می‌توان استنباط کرد که بنگاه تک‌محصولی، که از این اثر کاهنده بی‌بهره است، در معرض ریسک بالاتری قرار دارد</w:t>
      </w:r>
      <w:r>
        <w:rPr>
          <w:rtl/>
        </w:rPr>
        <w:t xml:space="preserve">.</w:t>
      </w:r>
    </w:p>
    <w:p w14:paraId="4EC66739" w14:textId="77777777" w:rsidR="006B24D8" w:rsidRDefault="0022525F">
      <w:pPr>
        <w:pStyle w:val="Heading3"/>
        <w:keepNext/>
        <w:bidi/>
        <w:spacing w:before="180" w:after="80"/>
      </w:pPr>
      <w:r>
        <w:t>۱-۸-۳ صنعت مواد غذایی</w:t>
      </w:r>
    </w:p>
    <w:p w14:paraId="2C72DF48" w14:textId="77777777" w:rsidR="006B24D8" w:rsidRDefault="0022525F">
      <w:pPr>
        <w:bidi/>
        <w:spacing w:after="80"/>
        <w:ind w:firstLine="720"/>
        <w:jc w:val="both"/>
      </w:pPr>
      <w:r>
        <w:rPr>
          <w:rtl/>
        </w:rPr>
        <w:t>تعریف مفهومی: صنعت مواد غذایی به مجموعه فعالیت‌های تولید، فرآوری، بسته‌بندی و توزیع محصولات خوراکی و آشامیدنی اطلا</w:t>
      </w:r>
      <w:r>
        <w:rPr>
          <w:rtl/>
        </w:rPr>
        <w:t>ق می‌شود. چند ویژگی این صنعت را از صنایع دیگر متمایز می‌کند: وابستگی زنجیره تأمین آن به محصولات کشاورزی و در نتیجه حساسیت به شرایط اقلیمی و فصلی؛ ماندگاری محدود بسیاری از محصولات و اهمیت سرعت گردش در کانال توزیع؛ الزامات بهداشتی و نظارتی سخت‌گیرانه به دلیل</w:t>
      </w:r>
      <w:r>
        <w:rPr>
          <w:rtl/>
        </w:rPr>
        <w:t xml:space="preserve"> ارتباط مستقیم با سلامت عمومی؛ و حساسیت بالای مصرف‌کننده نسبت به قیمت و کیفیت </w:t>
      </w:r>
      <w:r>
        <w:rPr>
          <w:rtl/>
        </w:rPr>
        <w:t xml:space="preserve">(برای الزامات نظارتی و ایمنی نک: مانگلا و همکاران، ۲۰۲۱)</w:t>
      </w:r>
      <w:r>
        <w:rPr>
          <w:rStyle w:val="FootnoteReference"/>
        </w:rPr>
        <w:footnoteReference w:id="10"/>
      </w:r>
      <w:r>
        <w:rPr>
          <w:rtl/>
        </w:rPr>
        <w:t xml:space="preserve">. توضیح بیشتر درباره ساختار و جایگاه این صنعت در ایران، در پیوست ث ارائه شده است.</w:t>
      </w:r>
    </w:p>
    <w:p w14:paraId="0A6ABAD7" w14:textId="77777777" w:rsidR="006B24D8" w:rsidRDefault="0022525F">
      <w:pPr>
        <w:pStyle w:val="Heading3"/>
        <w:keepNext/>
        <w:bidi/>
        <w:spacing w:before="180" w:after="80"/>
      </w:pPr>
      <w:r>
        <w:t>۱-۸-۴ روش دلفی</w:t>
      </w:r>
    </w:p>
    <w:p w14:paraId="3B8E73EB" w14:textId="77777777" w:rsidR="006B24D8" w:rsidRDefault="0022525F">
      <w:pPr>
        <w:bidi/>
        <w:spacing w:after="80"/>
        <w:ind w:firstLine="720"/>
        <w:jc w:val="both"/>
      </w:pPr>
      <w:r>
        <w:rPr>
          <w:rtl/>
        </w:rPr>
        <w:t>تعریف مفهومی: روش دلفی فرایندی ساختاریافته برای دستیابی به اجماع گروهی خبرگان درباره موضوعی است که فهرست پیشینی و تثبیت‌شده‌ای از پاسخ‌</w:t>
      </w:r>
      <w:r>
        <w:rPr>
          <w:rtl/>
        </w:rPr>
        <w:t xml:space="preserve">های آن در دست نیست؛ این روش از طریق دورهای متوالی پرسشنامه و بازخورد کنترل‌شده و ناشناس نتایج هر دور به اعضای پانل اجرا می‌شود، ویژگی‌ای که آن را از مصاحبه منفرد یا پیمایش یک‌مرحله‌ای متمایز می‌کند </w:t>
      </w:r>
      <w:r>
        <w:rPr>
          <w:rtl/>
        </w:rPr>
        <w:t xml:space="preserve">(ناسا و همکاران، ۲۰۲۱)</w:t>
      </w:r>
      <w:r>
        <w:rPr>
          <w:rStyle w:val="FootnoteReference"/>
        </w:rPr>
        <w:footnoteReference w:id="11"/>
      </w:r>
      <w:r>
        <w:rPr>
          <w:rtl/>
        </w:rPr>
        <w:t>. در پژوهش حاضر، فهرست چالش‌های</w:t>
      </w:r>
      <w:r>
        <w:rPr>
          <w:rtl/>
        </w:rPr>
        <w:t xml:space="preserve"> فروش در دور نخست به‌صورت کیفی و باز از پانل هفت نفره خبرگان گردآوری شد و در دورهای بعدی، از طریق رتبه‌بندی و بازخورد گروهی، </w:t>
      </w:r>
      <w:r>
        <w:rPr>
          <w:rtl/>
        </w:rPr>
        <w:t xml:space="preserve">به اجماع نسبی رسید</w:t>
      </w:r>
      <w:r>
        <w:rPr>
          <w:rtl/>
        </w:rPr>
        <w:t>.</w:t>
      </w:r>
    </w:p>
    <w:p w14:paraId="3BB8F88F" w14:textId="77777777" w:rsidR="00EF16F2" w:rsidRDefault="00EF16F2"/>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1E4F1" w14:textId="77777777" w:rsidR="00860071" w:rsidRDefault="00860071" w:rsidP="00C137EF">
      <w:pPr>
        <w:spacing w:line="240" w:lineRule="auto"/>
      </w:pPr>
      <w:r>
        <w:separator/>
      </w:r>
    </w:p>
  </w:endnote>
  <w:endnote w:type="continuationSeparator" w:id="0">
    <w:p w14:paraId="2CE4AF42" w14:textId="77777777" w:rsidR="00860071" w:rsidRDefault="00860071" w:rsidP="00C137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22525F" w:rsidP="00760CDA">
      <w:pPr>
        <w:spacing w:line="240" w:lineRule="auto"/>
      </w:pPr>
      <w:r>
        <w:separator/>
      </w:r>
    </w:p>
  </w:footnote>
  <w:footnote w:type="continuationSeparator" w:id="0">
    <w:p w14:paraId="01BFD269" w14:textId="77777777" w:rsidR="000C76BC" w:rsidRDefault="0022525F" w:rsidP="00760CDA">
      <w:pPr>
        <w:spacing w:line="240" w:lineRule="auto"/>
      </w:pPr>
      <w:r>
        <w:continuationSeparator/>
      </w:r>
    </w:p>
  </w:footnote>
  <w:footnote w:id="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Kotler et al., 2022</w:t>
      </w:r>
    </w:p>
  </w:footnote>
  <w:footnote w:id="2">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3">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4">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5">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6">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Zain et al., 2024</w:t>
      </w:r>
    </w:p>
  </w:footnote>
  <w:footnote w:id="7">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Schmidt, 1997</w:t>
      </w:r>
    </w:p>
  </w:footnote>
  <w:footnote w:id="8">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Schommer et al., 2019</w:t>
      </w:r>
    </w:p>
  </w:footnote>
  <w:footnote w:id="9">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10">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1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Nasa et al., 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7EF"/>
    <w:rsid w:val="0022525F"/>
    <w:rsid w:val="00255A2E"/>
    <w:rsid w:val="0048646F"/>
    <w:rsid w:val="005D21AC"/>
    <w:rsid w:val="006B24D8"/>
    <w:rsid w:val="00723EBE"/>
    <w:rsid w:val="00860071"/>
    <w:rsid w:val="008E6D8F"/>
    <w:rsid w:val="00AF356D"/>
    <w:rsid w:val="00B3422D"/>
    <w:rsid w:val="00C137EF"/>
    <w:rsid w:val="00C612D5"/>
    <w:rsid w:val="00C92BFB"/>
    <w:rsid w:val="00E51E8F"/>
    <w:rsid w:val="00EE6052"/>
    <w:rsid w:val="00EE6165"/>
    <w:rsid w:val="00EF16F2"/>
    <w:rsid w:val="00F33EF9"/>
    <w:rsid w:val="00FF04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AE2AD"/>
  <w15:chartTrackingRefBased/>
  <w15:docId w15:val="{49AA0347-1581-403A-9A92-B63F58CC5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7EF"/>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C137EF"/>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C137EF"/>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C137EF"/>
    <w:pPr>
      <w:spacing w:after="0" w:line="240" w:lineRule="auto"/>
      <w:outlineLvl w:val="2"/>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7EF"/>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C137EF"/>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C137EF"/>
    <w:rPr>
      <w:rFonts w:ascii="B Nazanin" w:eastAsia="B Nazanin" w:hAnsi="B Nazanin" w:cs="B Nazanin"/>
      <w:b/>
      <w:bCs/>
      <w:color w:val="000000"/>
      <w:sz w:val="28"/>
      <w:szCs w:val="28"/>
      <w:lang w:bidi="fa-IR"/>
    </w:rPr>
  </w:style>
  <w:style w:type="paragraph" w:styleId="ListParagraph">
    <w:name w:val="List Paragraph"/>
    <w:qFormat/>
    <w:rsid w:val="00C137EF"/>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C137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1590</Words>
  <Characters>9068</Characters>
  <Application>Microsoft Office Word</Application>
  <DocSecurity>0</DocSecurity>
  <Lines>75</Lines>
  <Paragraphs>21</Paragraphs>
  <ScaleCrop>false</ScaleCrop>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8</cp:revision>
  <dcterms:created xsi:type="dcterms:W3CDTF">2026-10-19T07:40:00Z</dcterms:created>
  <dcterms:modified xsi:type="dcterms:W3CDTF">2026-10-20T20:16:00Z</dcterms:modified>
</cp:coreProperties>
</file>