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14:paraId="410CE724" w14:textId="7CF100C2" w:rsidR="00EB30A8" w:rsidRPr="00FB7C11" w:rsidRDefault="00A23C08" w:rsidP="00FB7C11">
      <w:pPr>
        <w:bidi/>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1"/>
      </w:r>
      <w:r>
        <w:rPr>
          <w:rtl/>
        </w:rPr>
        <w:t xml:space="preserve"> میان پژوهش کاربردی و بنیادی، هدف اکتشافی پژوهش و انتخاب روش آمیخته مطرح می‌کنند همخوانی دارد</w:t>
      </w:r>
      <w:r>
        <w:rPr>
          <w:rtl/>
        </w:rPr>
        <w:t xml:space="preserve">.</w:t>
      </w:r>
    </w:p>
    <w:p w14:paraId="213DF8D9" w14:textId="496B6BD7" w:rsidR="00EB30A8" w:rsidRPr="00FB7C11" w:rsidRDefault="00A23C08" w:rsidP="00FB7C11">
      <w:pPr>
        <w:bidi/>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hint="cs"/>
          <w:rtl/>
        </w:rPr>
        <w:t xml:space="preserve"> بایدربک و همکاران (۲۰۲۱)</w:t>
      </w:r>
      <w:r>
        <w:rPr>
          <w:rStyle w:val="FootnoteReference"/>
        </w:rPr>
        <w:footnoteReference w:id="3"/>
      </w:r>
      <w:r>
        <w:rPr>
          <w:rFonts w:hint="c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hint="cs"/>
          <w:rtl/>
        </w:rPr>
        <w:t xml:space="preserve">شیفانو و نیدربرگر (۲۰۲۵)</w:t>
      </w:r>
      <w:r>
        <w:rPr>
          <w:rStyle w:val="FootnoteReference"/>
        </w:rPr>
        <w:footnoteReference w:id="4"/>
      </w:r>
      <w:r>
        <w:rPr>
          <w:rFonts w:hint="c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5"/>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Pr>
          <w:rFonts w:hint="cs"/>
          <w:rtl/>
        </w:rPr>
        <w:t xml:space="preserve">مدیر برنامه‌ریزی تولید و یک عضو هیئت علمی</w:t>
      </w:r>
      <w:r>
        <w:rPr>
          <w:rtl/>
        </w:rPr>
        <w:t xml:space="preserve">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14:paraId="6AE875FA" w14:textId="77777777" w:rsidR="00EB30A8" w:rsidRPr="00FB7C11" w:rsidRDefault="00A23C08" w:rsidP="00FB7C11">
      <w:pPr>
        <w:bidi/>
        <w:jc w:val="both"/>
      </w:pPr>
      <w:r w:rsidRPr="00FB7C11">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14:paraId="7302EC42" w14:textId="7B61712E" w:rsidR="00EB30A8" w:rsidRPr="00FB7C11" w:rsidRDefault="00A23C08" w:rsidP="00FB7C11">
      <w:pPr>
        <w:bidi/>
        <w:jc w:val="both"/>
      </w:pPr>
      <w:r w:rsidRPr="00FB7C11">
        <w:rPr>
          <w:rtl/>
        </w:rPr>
        <w:t>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 پاسخ‌های این دور، مبنای تحلیل مضمون و شکل‌گیری فهرست اولیه گویه‌هایی شد که در دورهای بعدی برای رتبه‌بندی و رسیدن به اجماع، در اختیار پانل قرار گرفت.</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14:paraId="72B54788" w14:textId="77777777" w:rsidR="00EB30A8" w:rsidRPr="00A23C08" w:rsidRDefault="00A23C08" w:rsidP="00A23C08">
      <w:pPr>
        <w:bidi/>
        <w:jc w:val="both"/>
      </w:pPr>
      <w:r w:rsidRPr="00A23C08">
        <w:rPr>
          <w:rtl/>
        </w:rPr>
        <w:t>ابزار اصلی گردآوری داده، پرسشنامه دلفی بود که در قالب دورهای متوالی طراحی و اجرا شد. دور نخست، پرسشنامه‌ای باز با دو بخش بود: بخش نخست به مشخصات جمعیت‌شناختی عضو پانل اختصاص داشت و بخش دوم شامل پرسش باز اصلی پژوهش می‌شد. نمونه این پرسشنامه در پیوست الف پایان‌نامه ارائه شده است.</w:t>
      </w:r>
    </w:p>
    <w:p w14:paraId="2F862AF6" w14:textId="0C912346" w:rsidR="00EB30A8" w:rsidRPr="00A23C08" w:rsidRDefault="00A23C08" w:rsidP="00A23C08">
      <w:pPr>
        <w:bidi/>
        <w:jc w:val="both"/>
      </w:pPr>
      <w:r w:rsidRPr="00A23C08">
        <w:rPr>
          <w:rtl/>
        </w:rPr>
        <w:t xml:space="preserve">در دورهای بعدی، پرسشنامه بر پایه گویه‌های استخراج‌شده از دور نخست بازطراحی شد و از هر عضو پانل خواسته شد میزان اهمیت هر گویه را رتبه‌بندی کند. </w:t>
      </w:r>
      <w:r>
        <w:rPr>
          <w:rFonts w:hint="cs"/>
          <w:rtl/>
        </w:rPr>
        <w:t xml:space="preserve">ناسا و همکاران (۲۰۲۱)</w:t>
      </w:r>
      <w:r>
        <w:rPr>
          <w:rStyle w:val="FootnoteReference"/>
        </w:rPr>
        <w:footnoteReference w:id="6"/>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 </w:t>
      </w:r>
      <w:r>
        <w:rPr>
          <w:rtl/>
        </w:rPr>
        <w:t xml:space="preserve">پاسخ‌های کامل‌شده دور دوم هر عضو پانل در پیوست ب، و پرسشنامه دور سوم همراه با پاسخ‌های کامل‌شده آن در پیوست پ پایان‌نامه ارائه شده است</w:t>
      </w:r>
      <w:r>
        <w:rPr>
          <w:rtl/>
        </w:rPr>
        <w:t xml:space="preserve">.</w:t>
      </w:r>
    </w:p>
    <w:p w14:paraId="0F7685A3" w14:textId="77777777" w:rsidR="00EB30A8" w:rsidRPr="00A23C08" w:rsidRDefault="00A23C08" w:rsidP="00A23C08">
      <w:pPr>
        <w:bidi/>
        <w:jc w:val="both"/>
      </w:pPr>
      <w:r w:rsidRPr="00A23C08">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14:paraId="5BCB4C24" w14:textId="77777777" w:rsidR="00EB30A8" w:rsidRPr="00A23C08" w:rsidRDefault="00A23C08" w:rsidP="00A23C08">
      <w:pPr>
        <w:bidi/>
        <w:jc w:val="both"/>
      </w:pPr>
      <w:r w:rsidRPr="00A23C08">
        <w:rPr>
          <w:rtl/>
        </w:rPr>
        <w:t>تحلیل داده‌ها در دو گام انجام شد: نخست شناسایی چالش‌ها از راه تحلیل مضمون پاسخ‌های باز دور نخست، و سپس اولویت‌بندی آن‌ها از طریق دورهای رتبه‌بندی و بازخورد گروهی پانل دلفی. هر دو گام از یک فرایند واحد و متوالی تغذیه می‌شوند.</w:t>
      </w:r>
    </w:p>
    <w:p w14:paraId="2134E8DB" w14:textId="77777777" w:rsidR="00EB30A8" w:rsidRDefault="00A23C08">
      <w:pPr>
        <w:pStyle w:val="Heading3"/>
        <w:keepNext/>
        <w:bidi/>
        <w:spacing w:before="180" w:after="80"/>
        <w:jc w:val="lowKashida"/>
      </w:pPr>
      <w:r>
        <w:t>۳-۷-۱ گام نخست: تحلیل مضمون</w:t>
      </w:r>
    </w:p>
    <w:p w14:paraId="05D5E2FE" w14:textId="2DE90A73" w:rsidR="00EB30A8" w:rsidRPr="00A23C08" w:rsidRDefault="00A23C08" w:rsidP="00A23C08">
      <w:pPr>
        <w:bidi/>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7"/>
      </w:r>
      <w:r>
        <w:rPr>
          <w:rtl/>
        </w:rPr>
        <w:t xml:space="preserve"> که براون و کلارک (۲۰۲۱)</w:t>
      </w:r>
      <w:r>
        <w:rPr>
          <w:rStyle w:val="FootnoteReference"/>
        </w:rPr>
        <w:footnoteReference w:id="8"/>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9"/>
      </w:r>
      <w:r w:rsidRPr="00A23C08">
        <w:rPr>
          <w:rtl/>
        </w:rPr>
        <w:t xml:space="preserve"> به عنوان یک کد ثبت شد.</w:t>
      </w:r>
    </w:p>
    <w:p w14:paraId="2C4C1056" w14:textId="7AFB1506" w:rsidR="00EB30A8" w:rsidRPr="00A23C08" w:rsidRDefault="00A23C08" w:rsidP="00A23C08">
      <w:pPr>
        <w:bidi/>
        <w:jc w:val="both"/>
      </w:pPr>
      <w:r w:rsidRPr="00A23C08">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14:paraId="2592C9B5" w14:textId="77777777" w:rsidR="00EB30A8" w:rsidRDefault="00A23C08">
      <w:pPr>
        <w:pStyle w:val="Heading3"/>
        <w:keepNext/>
        <w:bidi/>
        <w:spacing w:before="180" w:after="80"/>
        <w:jc w:val="lowKashida"/>
      </w:pPr>
      <w:r>
        <w:t>۳-۷-۲ گام دوم: رتبه‌بندی و رسیدن به اجماع در دورهای دلفی</w:t>
      </w:r>
    </w:p>
    <w:p w14:paraId="0B50EBDD" w14:textId="54C69CB3" w:rsidR="00EB30A8" w:rsidRPr="00A23C08" w:rsidRDefault="00A23C08" w:rsidP="00A23C08">
      <w:pPr>
        <w:bidi/>
        <w:jc w:val="both"/>
      </w:pPr>
      <w:r w:rsidRPr="00A23C08">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رتبه‌بندی کند. </w:t>
      </w:r>
      <w:r>
        <w:rPr>
          <w:rFonts w:hint="cs"/>
          <w:rtl/>
        </w:rPr>
        <w:t xml:space="preserve">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
      </w:r>
      <w:r>
        <w:rPr>
          <w:rFonts w:hint="cs"/>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رتبه‌بندی خود را در دور بعد بازبینی کنند</w:t>
      </w:r>
      <w:r>
        <w:rPr>
          <w:rtl/>
        </w:rPr>
        <w:t xml:space="preserve">.</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 xml:space="preserve">شیفانو و نیدربرگر (۲۰۲۵)</w:t>
      </w:r>
      <w:r>
        <w:rPr>
          <w:rStyle w:val="FootnoteReference"/>
        </w:rPr>
        <w:footnoteReference w:id="11"/>
      </w:r>
      <w:r>
        <w:rPr>
          <w:rFonts w:hint="c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14:paraId="59D0FE8B" w14:textId="77777777" w:rsidR="00EB30A8" w:rsidRPr="00A23C08" w:rsidRDefault="00A23C08" w:rsidP="00A23C08">
      <w:pPr>
        <w:bidi/>
        <w:jc w:val="both"/>
      </w:pPr>
      <w:r w:rsidRPr="00A23C08">
        <w:rPr>
          <w:rtl/>
        </w:rPr>
        <w:t>رتبه‌بندی نهایی در دو سطح محاسبه شد. در سطح گویه، هر یک از گویه‌های استخراج‌شده از دور نخست امتیاز جداگانه‌ای از میانگین رتبه‌های پانل دریافت کرد. در سطح مؤلفه، امتیاز هر مؤلفه از ترکیب امتیاز گویه‌های زیرمجموعه آن به دست آمد. محاسبه دوسطحی، هم امکان اولویت‌بندی عملیاتی در سطح چالش‌های مشخص را فراهم می‌کند و هم تصویری کلان از اهمیت نسبی دسته‌های چالش ارائه می‌دهد.</w:t>
      </w:r>
    </w:p>
    <w:p w14:paraId="50000000" w14:textId="77777777" w:rsidR="00EB30A8" w:rsidRPr="00A23C08" w:rsidRDefault="00A23C08" w:rsidP="00A23C08">
      <w:pPr>
        <w:bidi/>
        <w:jc w:val="both"/>
      </w:pPr>
      <w:r>
        <w:rPr>
          <w:rtl/>
        </w:rPr>
        <w:t xml:space="preserve">برای سنجش آماری این فرایند از سه دسته شاخص استفاده شد. نخست، شاخص‌های توصیفی امتیاز هر گویه در هر دور، یعنی میانگین، میانه، انحراف معیار و دامنه بین‌چارکی. </w:t>
      </w:r>
      <w:r>
        <w:rPr>
          <w:rtl/>
        </w:rPr>
        <w:t xml:space="preserve">دوم، ضریب هماهنگی کندال (W) برای سنجش میزان توافق میان رتبه‌بندی‌های اعضای پانل در هر دور، که در دلفی‌های مبتنی بر رتبه‌بندی به کار می‌رود (اشمیت، ۱۹۹۷)</w:t>
      </w:r>
      <w:r>
        <w:rPr>
          <w:rStyle w:val="FootnoteReference"/>
        </w:rPr>
        <w:footnoteReference w:id="12"/>
      </w:r>
      <w:r>
        <w:rPr>
          <w:rtl/>
        </w:rPr>
        <w:t xml:space="preserve">؛</w:t>
      </w:r>
      <w:r>
        <w:rPr>
          <w:rtl/>
        </w:rPr>
        <w:t xml:space="preserve"> معناداری آن با آزمون مجذور کای </w:t>
      </w:r>
      <w:r>
        <w:rPr>
          <w:rtl/>
        </w:rPr>
        <w:t xml:space="preserve">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 نتایج این محاسبه‌ها و آزمون دو فرضیه پژوهش </w:t>
      </w:r>
      <w:r>
        <w:rPr>
          <w:rtl/>
        </w:rPr>
        <w:t xml:space="preserve">در بخش ۴-۲ گزارش شده و خروجی کامل محاسبه‌ها برای هر سه دور در پیوست ت آمده است</w:t>
      </w:r>
      <w:r>
        <w:rPr>
          <w:rtl/>
        </w:rPr>
        <w:t xml:space="preserve">.</w:t>
      </w:r>
    </w:p>
    <w:p w14:paraId="41C1F11D" w14:textId="77777777" w:rsidR="00EB30A8" w:rsidRDefault="00A23C08">
      <w:pPr>
        <w:pStyle w:val="Heading3"/>
        <w:keepNext/>
        <w:bidi/>
        <w:spacing w:before="180" w:after="80"/>
        <w:jc w:val="lowKashida"/>
      </w:pPr>
      <w:r>
        <w:t>۳-۷-۳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hint="c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3"/>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4"/>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14:paraId="083FCDAF" w14:textId="77777777" w:rsidR="00AC3E3F" w:rsidRDefault="0053265E">
      <w:pPr>
        <w:bidi/>
        <w:spacing w:after="80"/>
        <w:jc w:val="lowKashida"/>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et al., 2023</w:t>
      </w:r>
    </w:p>
  </w:footnote>
  <w:footnote w:id="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2006</w:t>
      </w:r>
    </w:p>
  </w:footnote>
  <w:footnote w:id="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Bingham, 2023</w:t>
      </w:r>
    </w:p>
  </w:footnote>
  <w:footnote w:id="10">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Schmidt, 1997</w:t>
      </w:r>
    </w:p>
  </w:footnote>
  <w:footnote w:id="1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