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7CA2B" w14:textId="77777777" w:rsidR="00414E0E" w:rsidRDefault="00414E0E" w:rsidP="00414E0E">
      <w:pPr>
        <w:pStyle w:val="Heading1"/>
        <w:bidi/>
        <w:spacing w:before="5600"/>
        <w:jc w:val="center"/>
      </w:pPr>
      <w:r>
        <w:t>فصل پنجم: بحث و نتیجه‌گیری</w:t>
      </w:r>
    </w:p>
    <w:p w14:paraId="4CD3BD7F" w14:textId="77777777" w:rsidR="00414E0E" w:rsidRDefault="00414E0E" w:rsidP="00414E0E">
      <w:pPr>
        <w:bidi/>
        <w:jc w:val="lowKashida"/>
      </w:pPr>
      <w:r>
        <w:br w:type="page"/>
      </w:r>
    </w:p>
    <w:p>
      <w:pPr>
        <w:pStyle w:val="Heading2"/>
        <w:keepNext/>
        <w:bidi/>
        <w:spacing w:before="240" w:after="80"/>
        <w:jc w:val="lowKashida"/>
      </w:pPr>
      <w:r>
        <w:t>۵-۱ مقدمه</w:t>
      </w:r>
    </w:p>
    <w:p>
      <w:pPr>
        <w:bidi/>
        <w:spacing w:after="80"/>
        <w:jc w:val="lowKashida"/>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jc w:val="lowKashida"/>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jc w:val="lowKashida"/>
      </w:pPr>
      <w:r>
        <w:t>۵-۲ مروری بر خلاصه تحقیق</w:t>
      </w:r>
    </w:p>
    <w:p>
      <w:pPr>
        <w:bidi/>
        <w:spacing w:after="80"/>
        <w:jc w:val="lowKashida"/>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jc w:val="lowKashida"/>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jc w:val="lowKashida"/>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w:t>
      </w:r>
      <w:r>
        <w:rPr>
          <w:rtl/>
        </w:rPr>
        <w:t xml:space="preserve"> رتبه‌بندی نهایی در دو سطح گویه و مؤلفه، بر پایه میانگین امتیاز دور سوم و با روش AHP بدون محاسبه‌ی مقایسه‌های زوجی وزن‌دهی شد.</w:t>
      </w:r>
    </w:p>
    <w:p>
      <w:pPr>
        <w:bidi/>
        <w:spacing w:after="80"/>
        <w:jc w:val="lowKashida"/>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w:t>
      </w:r>
      <w:r>
        <w:rPr>
          <w:rtl/>
        </w:rPr>
        <w:t xml:space="preserve">بر این پایه، توافق معنادار اعضای پانل در دور نهایی تأیید شد و رتبه‌بندی میان دور دوم و سوم به ثبات رسیده بود</w:t>
      </w:r>
      <w:r>
        <w:rPr>
          <w:rtl/>
        </w:rPr>
        <w:t xml:space="preserve">.</w:t>
      </w:r>
    </w:p>
    <w:p>
      <w:pPr>
        <w:bidi/>
        <w:spacing w:after="80"/>
        <w:jc w:val="lowKashida"/>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jc w:val="lowKashida"/>
      </w:pPr>
      <w:r>
        <w:t>۵-۳ بحث و نتیجه‌گیری</w:t>
      </w:r>
    </w:p>
    <w:p>
      <w:pPr>
        <w:bidi/>
        <w:spacing w:after="80"/>
        <w:jc w:val="lowKashida"/>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w:t>
      </w:r>
      <w:r>
        <w:rPr>
          <w:rtl/>
        </w:rPr>
        <w:t xml:space="preserve">شاخص‌های ثبات اجماع</w:t>
      </w:r>
      <w:r>
        <w:rPr>
          <w:rtl/>
        </w:rPr>
        <w:t xml:space="preserve"> بحث می‌شود.</w:t>
      </w:r>
    </w:p>
    <w:p>
      <w:pPr>
        <w:pStyle w:val="Heading3"/>
        <w:keepNext/>
        <w:bidi/>
        <w:spacing w:before="180" w:after="80"/>
        <w:jc w:val="lowKashida"/>
      </w:pPr>
      <w:r>
        <w:t>۵-۳-۱ بحث و نتیجه‌گیری درباره پرسش اول پژوهش</w:t>
      </w:r>
    </w:p>
    <w:p>
      <w:pPr>
        <w:bidi/>
        <w:spacing w:after="80"/>
        <w:jc w:val="lowKashida"/>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jc w:val="lowKashida"/>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2"/>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jc w:val="lowKashida"/>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3"/>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4"/>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5"/>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6"/>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jc w:val="lowKashida"/>
      </w:pPr>
      <w:r>
        <w:rPr>
          <w:rtl/>
        </w:rPr>
        <w:t xml:space="preserve">در گروه دوم، گویه‌هایی قرار دارند که در جدول ۲-۱ همتای روشنی ندارند.</w:t>
      </w:r>
      <w:r>
        <w:rPr>
          <w:rtl/>
        </w:rPr>
        <w:t xml:space="preserve"> نخست، فشارهای اقتصاد کلان، یعنی افزایش بهای تمام‌شده و فشار بر حاشیه سود و نیز کاهش قدرت خرید و مشکلات اقتصادی مصرف‌کننده.</w:t>
      </w:r>
      <w:r>
        <w:rPr>
          <w:rtl/>
        </w:rPr>
        <w:t xml:space="preserve"> مبانی نظری فصل دوم نوسانات اقتصاد کلان را در شمار عوامل محیطی آورده بود،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w:t>
      </w:r>
      <w:r>
        <w:rPr>
          <w:rtl/>
        </w:rPr>
        <w:t xml:space="preserve"> دوم، گویه‌هایی که به نظر می‌رسد پیامد مستقیم ساختار تک‌محصولی‌اند: محدود بودن بازار هدف به یک گروه خاص از مشتریان و افت ناگهانی تقاضا؛ تغییر سریع ذائقه و ترجیحات مصرف‌کننده نیز در جدول ۲-۱ همتای روشن ندارد.</w:t>
      </w:r>
      <w:r>
        <w:rPr>
          <w:rtl/>
        </w:rPr>
        <w:t xml:space="preserve"> سوم، دشواری جذب و حفظ مشتری، یعنی جذب مشتری جدید، وفاداری پایین و نبود پیشنهاد تازه برای حفظ و فعال‌سازی مجدد مشتریان فعلی؛ سازوکاری که در آن، نداشتن سبد محصول ابزار نگهداشت مشتری را نیز محدود می‌کند. چهارم، کم‌توجهی به تحقیقات بازار و مطالعه رفتار مصرف‌کننده، که از نظر موضوعی با شکاف نگرش و رفتار خرید مرتبط است، در جدول ۲-۱ همتای روشن ندارد.</w:t>
      </w:r>
    </w:p>
    <w:p>
      <w:pPr>
        <w:bidi/>
        <w:spacing w:after="80"/>
        <w:jc w:val="lowKashida"/>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7"/>
      </w:r>
      <w:r>
        <w:rPr>
          <w:rtl/>
        </w:rPr>
        <w:t xml:space="preserve">، محدودیت دانش و مهارت منابع انسانی، از جمله کمبود نیروی فروش ماهر (تانئو و همکاران، ۲۰۲۲)</w:t>
      </w:r>
      <w:r>
        <w:rPr>
          <w:rStyle w:val="FootnoteReference"/>
        </w:rPr>
        <w:footnoteReference w:id="8"/>
      </w:r>
      <w:r>
        <w:rPr>
          <w:rtl/>
        </w:rPr>
        <w:t xml:space="preserve">، شکاف نگرش و رفتار خرید مصرف‌کننده (صفری و اسماعیل‌نژاد، ۱۴۰۳) و بُعد دیجیتال فروش که در بخش ۲-۴ به عنوان یکی از شکاف‌های ادبیات معرفی شد.</w:t>
      </w:r>
      <w:r>
        <w:rPr>
          <w:rtl/>
        </w:rPr>
        <w:t xml:space="preserve">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w:t>
      </w:r>
      <w:r>
        <w:rPr>
          <w:rtl/>
        </w:rPr>
        <w:t xml:space="preserve"> فهرست گویه‌های دورهای رتبه‌بندی از پاسخ‌های دور نخست و ترکیب آن با چالش‌های برگرفته از ادبیات ساخته شد؛ بنابراین پانل این عوامل را رتبه‌بندی نکرد و داده‌های پژوهش برای تفکیک دو تفسیر کافی نیست.</w:t>
      </w:r>
      <w:r>
        <w:rPr>
          <w:rtl/>
        </w:rPr>
        <w:t xml:space="preserve"> این موضوع در بخش پیشنهادهای آتی آمده است.</w:t>
      </w:r>
    </w:p>
    <w:p>
      <w:pPr>
        <w:bidi/>
        <w:spacing w:after="80"/>
        <w:jc w:val="lowKashida"/>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r>
        <w:t xml:space="preserve">جدول ۵-۱ نسبت مؤلفه‌های شناسایی‌شده با یافته‌های پژوهش‌های پیشین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rsidR="00414E0E" w14:paraId="2737253F" w14:textId="77777777" w:rsidTr="00824313">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495C4" w14:textId="77777777" w:rsidR="00414E0E" w:rsidRDefault="00414E0E" w:rsidP="00414E0E">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265A9" w14:textId="77777777" w:rsidR="00414E0E" w:rsidRDefault="00414E0E" w:rsidP="00414E0E">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2B59F" w14:textId="77777777" w:rsidR="00414E0E" w:rsidRDefault="00414E0E" w:rsidP="00414E0E">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E7B90" w14:textId="77777777" w:rsidR="00414E0E" w:rsidRDefault="00414E0E" w:rsidP="00414E0E">
            <w:pPr>
              <w:bidi/>
              <w:jc w:val="center"/>
            </w:pPr>
            <w:r>
              <w:rPr>
                <w:b/>
                <w:bCs/>
                <w:sz w:val="22"/>
                <w:szCs w:val="22"/>
                <w:rtl/>
              </w:rPr>
              <w:t xml:space="preserve">نسبت با ادبیات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مامن و همکاران (۲۰۲۱)</w:t>
            </w:r>
            <w:r>
              <w:rPr>
                <w:rStyle w:val="FootnoteReference"/>
              </w:rPr>
              <w:footnoteReference w:id="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توماران و همکاران (۲۰۲۲)</w:t>
            </w:r>
            <w:r>
              <w:rPr>
                <w:rStyle w:val="FootnoteReference"/>
              </w:rPr>
              <w:footnoteReference w:id="10"/>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1"/>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سوریاتی و لوسیه (۲۰۲۲)</w:t>
            </w:r>
            <w:r>
              <w:rPr>
                <w:rStyle w:val="FootnoteReference"/>
              </w:rPr>
              <w:footnoteReference w:id="12"/>
            </w:r>
            <w:r>
              <w:rPr>
                <w:sz w:val="22"/>
                <w:szCs w:val="22"/>
                <w:rtl/>
              </w:rPr>
              <w:t xml:space="preserve">؛ پانگارکار و پرابهوداسای (۲۰۲۴) درباره قدرت چانه‌زنی خریدار</w:t>
            </w:r>
            <w:r>
              <w:rPr>
                <w:rStyle w:val="FootnoteReference"/>
              </w:rPr>
              <w:footnoteReference w:id="1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پانگارکار و پرابهوداسای (۲۰۲۴)</w:t>
            </w:r>
            <w:r>
              <w:rPr>
                <w:rStyle w:val="FootnoteReference"/>
              </w:rPr>
              <w:footnoteReference w:id="14"/>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lowKashida"/>
      </w:pPr>
    </w:p>
    <w:p>
      <w:pPr>
        <w:bidi/>
        <w:spacing w:after="80"/>
        <w:jc w:val="lowKashida"/>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jc w:val="lowKashida"/>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jc w:val="lowKashida"/>
      </w:pPr>
      <w:r>
        <w:t>۵-۳-۲ بحث و نتیجه‌گیری درباره پرسش دوم پژوهش</w:t>
      </w:r>
    </w:p>
    <w:p>
      <w:pPr>
        <w:bidi/>
        <w:spacing w:after="80"/>
        <w:jc w:val="lowKashida"/>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jc w:val="lowKashida"/>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jc w:val="lowKashida"/>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5"/>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6"/>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jc w:val="lowKashida"/>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jc w:val="lowKashida"/>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jc w:val="lowKashida"/>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7"/>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8"/>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jc w:val="lowKashida"/>
      </w:pPr>
      <w:r>
        <w:rPr>
          <w:rtl/>
        </w:rPr>
        <w:t xml:space="preserve">نکته پایانی </w:t>
      </w:r>
      <w:r>
        <w:rPr>
          <w:rtl/>
        </w:rPr>
        <w:t xml:space="preserve">به اعتبار رتبه‌بندی و ثبات اجماع</w:t>
      </w:r>
      <w:r>
        <w:rPr>
          <w:rtl/>
        </w:rPr>
        <w:t xml:space="preserve">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w:t>
      </w:r>
      <w:r>
        <w:rPr>
          <w:rtl/>
        </w:rPr>
        <w:t xml:space="preserve">بنابراین توافق معنادار میان اعضای پانل در دور نهایی تأیید می‌شود</w:t>
      </w:r>
      <w:r>
        <w:rPr>
          <w:rtl/>
        </w:rPr>
        <w:t xml:space="preserve">. ضرایب اسپیرمن میان دور دوم و سوم (۰٫۸۴۷ در سطح گویه و ۰٫۸۳۳ در سطح مؤلفه، هر دو معنادار) </w:t>
      </w:r>
      <w:r>
        <w:rPr>
          <w:rtl/>
        </w:rPr>
        <w:t xml:space="preserve">ثبات رتبه‌بندی میان دو دور پایانی را نشان می‌دهند</w:t>
      </w:r>
      <w:r>
        <w:rPr>
          <w:rtl/>
        </w:rPr>
        <w:t xml:space="preserve">.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9"/>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20"/>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jc w:val="lowKashida"/>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w:t>
      </w:r>
      <w:r>
        <w:rPr>
          <w:rtl/>
        </w:rPr>
        <w:t xml:space="preserve">با توافق معنادار و ثبات آماری دور سوم پشتیبانی</w:t>
      </w:r>
      <w:r>
        <w:rPr>
          <w:rtl/>
        </w:rPr>
        <w:t xml:space="preserve"> می‌شود، هرچند تمایز رتبه‌ای در میانه جدول گویه‌ها اندک است.</w:t>
      </w:r>
    </w:p>
    <w:p>
      <w:pPr>
        <w:pStyle w:val="Heading2"/>
        <w:keepNext/>
        <w:bidi/>
        <w:spacing w:before="240" w:after="80"/>
        <w:jc w:val="lowKashida"/>
      </w:pPr>
      <w:r>
        <w:t>۵-۴ پیشنهادات تحقیق</w:t>
      </w:r>
    </w:p>
    <w:p>
      <w:pPr>
        <w:bidi/>
        <w:spacing w:after="80"/>
        <w:jc w:val="lowKashida"/>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1"/>
        </w:numPr>
        <w:bidi/>
        <w:spacing w:after="60"/>
        <w:jc w:val="lowKashida"/>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1"/>
        </w:numPr>
        <w:bidi/>
        <w:spacing w:after="60"/>
        <w:jc w:val="lowKashida"/>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1"/>
        </w:numPr>
        <w:bidi/>
        <w:spacing w:after="60"/>
        <w:jc w:val="lowKashida"/>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1"/>
        </w:numPr>
        <w:bidi/>
        <w:spacing w:after="60"/>
        <w:jc w:val="lowKashida"/>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21"/>
      </w:r>
      <w:r>
        <w:rPr>
          <w:rtl/>
        </w:rPr>
        <w:t xml:space="preserve"> و تنوع مرتبط ریسک بنگاه را می‌کاهد (مامن و همکاران، ۲۰۲۱)</w:t>
      </w:r>
      <w:r>
        <w:rPr>
          <w:rStyle w:val="FootnoteReference"/>
        </w:rPr>
        <w:footnoteReference w:id="22"/>
      </w:r>
      <w:r>
        <w:rPr>
          <w:rtl/>
        </w:rPr>
        <w:t xml:space="preserve">؛ این مسیر بخش عمده مزیت تخصص‌گرایی را حفظ می‌کند.</w:t>
      </w:r>
    </w:p>
    <w:p>
      <w:pPr>
        <w:pStyle w:val="ListParagraph"/>
        <w:numPr>
          <w:ilvl w:val="0"/>
          <w:numId w:val="1"/>
        </w:numPr>
        <w:bidi/>
        <w:spacing w:after="60"/>
        <w:jc w:val="lowKashida"/>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1"/>
        </w:numPr>
        <w:bidi/>
        <w:spacing w:after="60"/>
        <w:jc w:val="lowKashida"/>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1"/>
        </w:numPr>
        <w:bidi/>
        <w:spacing w:after="60"/>
        <w:jc w:val="lowKashida"/>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23"/>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1"/>
        </w:numPr>
        <w:bidi/>
        <w:spacing w:after="60"/>
        <w:jc w:val="lowKashida"/>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1"/>
        </w:numPr>
        <w:bidi/>
        <w:spacing w:after="60"/>
        <w:jc w:val="lowKashida"/>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jc w:val="lowKashida"/>
      </w:pPr>
      <w:r>
        <w:t>۵-۵ محدودیت‌های پژوهش</w:t>
      </w:r>
    </w:p>
    <w:p w14:paraId="07868FC5" w14:textId="77777777" w:rsidR="00414E0E" w:rsidRDefault="00414E0E" w:rsidP="00414E0E">
      <w:pPr>
        <w:bidi/>
        <w:spacing w:after="80"/>
        <w:jc w:val="lowKashida"/>
      </w:pPr>
      <w:r>
        <w:rPr>
          <w:rtl/>
        </w:rPr>
        <w:t>هر پژوهشی در چارچوب محدودیت‌های خود معنا می‌یابد و بیان صریح این محدودیت‌ها، شرط تفسیر درست یافته‌هاست.</w:t>
      </w:r>
    </w:p>
    <w:p>
      <w:pPr>
        <w:pStyle w:val="ListParagraph"/>
        <w:numPr>
          <w:ilvl w:val="0"/>
          <w:numId w:val="1"/>
        </w:numPr>
        <w:bidi/>
        <w:spacing w:after="60"/>
        <w:jc w:val="lowKashida"/>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1"/>
        </w:numPr>
        <w:bidi/>
        <w:spacing w:after="60"/>
        <w:jc w:val="lowKashida"/>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1"/>
        </w:numPr>
        <w:bidi/>
        <w:spacing w:after="60"/>
        <w:jc w:val="lowKashida"/>
      </w:pPr>
      <w:r>
        <w:rPr>
          <w:rtl/>
        </w:rPr>
        <w:t xml:space="preserve">ماهیت اجماع: فهرست دورهای رتبه‌بندی از کدهای دور نخست ساخته شد که با چالش‌های برگرفته از ادبیات ترکیب و بررسی شدند؛ از این رو عوامل مطرح‌نشده در آن دور رتبه‌بندی نشدند.</w:t>
      </w:r>
      <w:r>
        <w:rPr>
          <w:rtl/>
        </w:rPr>
        <w:t xml:space="preserve">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1"/>
        </w:numPr>
        <w:bidi/>
        <w:spacing w:after="60"/>
        <w:jc w:val="lowKashida"/>
      </w:pPr>
      <w:r>
        <w:rPr>
          <w:rtl/>
        </w:rPr>
        <w:t xml:space="preserve">وزن‌های AHP بدون محاسبه‌ی مقایسه‌های زوجی و بر پایه میانگین امتیاز دور سوم محاسبه شدند؛ از این رو بیانگر اهمیت نسبی امتیازها هستند، نه قضاوت‌های زوجی اعضای پانل.</w:t>
      </w:r>
    </w:p>
    <w:p>
      <w:pPr>
        <w:pStyle w:val="ListParagraph"/>
        <w:numPr>
          <w:ilvl w:val="0"/>
          <w:numId w:val="1"/>
        </w:numPr>
        <w:bidi/>
        <w:spacing w:after="60"/>
        <w:jc w:val="lowKashida"/>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jc w:val="lowKashida"/>
      </w:pPr>
      <w:r>
        <w:t>۵-۶ پیشنهادهایی برای پژوهش‌های آتی</w:t>
      </w:r>
    </w:p>
    <w:p>
      <w:pPr>
        <w:bidi/>
        <w:spacing w:after="80"/>
        <w:jc w:val="lowKashida"/>
      </w:pPr>
      <w:r>
        <w:rPr>
          <w:rtl/>
        </w:rPr>
        <w:t xml:space="preserve">پیشنهادهای زیر از یافته‌ها و محدودیت‌های این پژوهش برخاسته‌اند.</w:t>
      </w:r>
    </w:p>
    <w:p>
      <w:pPr>
        <w:pStyle w:val="ListParagraph"/>
        <w:numPr>
          <w:ilvl w:val="0"/>
          <w:numId w:val="1"/>
        </w:numPr>
        <w:bidi/>
        <w:spacing w:after="60"/>
        <w:jc w:val="lowKashida"/>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1"/>
        </w:numPr>
        <w:bidi/>
        <w:spacing w:after="60"/>
        <w:jc w:val="lowKashida"/>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1"/>
        </w:numPr>
        <w:bidi/>
        <w:spacing w:after="60"/>
        <w:jc w:val="lowKashida"/>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14:paraId="21F2F131" w14:textId="77777777" w:rsidR="00414E0E" w:rsidRDefault="00414E0E" w:rsidP="00414E0E">
      <w:pPr>
        <w:pStyle w:val="ListParagraph"/>
        <w:numPr>
          <w:ilvl w:val="0"/>
          <w:numId w:val="1"/>
        </w:numPr>
        <w:bidi/>
        <w:spacing w:after="60"/>
        <w:jc w:val="lowKashida"/>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14:paraId="001BB654" w14:textId="77777777" w:rsidR="00414E0E" w:rsidRDefault="00414E0E" w:rsidP="00414E0E">
      <w:pPr>
        <w:pStyle w:val="ListParagraph"/>
        <w:numPr>
          <w:ilvl w:val="0"/>
          <w:numId w:val="1"/>
        </w:numPr>
        <w:bidi/>
        <w:spacing w:after="60"/>
        <w:jc w:val="lowKashida"/>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14:paraId="422E599B" w14:textId="77777777" w:rsidR="00414E0E" w:rsidRDefault="00414E0E" w:rsidP="00414E0E">
      <w:pPr>
        <w:pStyle w:val="ListParagraph"/>
        <w:numPr>
          <w:ilvl w:val="0"/>
          <w:numId w:val="1"/>
        </w:numPr>
        <w:bidi/>
        <w:spacing w:after="60"/>
        <w:jc w:val="lowKashida"/>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1"/>
        </w:numPr>
        <w:bidi/>
        <w:spacing w:after="60"/>
        <w:jc w:val="lowKashida"/>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 w:id="1">
    <w:p>
      <w:r>
        <w:rPr>
          <w:rStyle w:val="FootnoteReference"/>
        </w:rPr>
        <w:footnoteRef/>
      </w:r>
      <w:r>
        <w:rPr>
          <w:rFonts w:ascii="Times New Roman" w:eastAsia="Times New Roman" w:hAnsi="Times New Roman" w:cs="Times New Roman"/>
          <w:sz w:val="20"/>
          <w:szCs w:val="20"/>
        </w:rPr>
        <w:t> Mammen et al., 2021</w:t>
      </w:r>
    </w:p>
  </w:footnote>
  <w:footnote w:id="2">
    <w:p>
      <w:r>
        <w:rPr>
          <w:rStyle w:val="FootnoteReference"/>
        </w:rPr>
        <w:footnoteRef/>
      </w:r>
      <w:r>
        <w:rPr>
          <w:rFonts w:ascii="Times New Roman" w:eastAsia="Times New Roman" w:hAnsi="Times New Roman" w:cs="Times New Roman"/>
          <w:sz w:val="20"/>
          <w:szCs w:val="20"/>
        </w:rPr>
        <w:t> Schommer et al., 2019</w:t>
      </w:r>
    </w:p>
  </w:footnote>
  <w:footnote w:id="3">
    <w:p>
      <w:r>
        <w:rPr>
          <w:rStyle w:val="FootnoteReference"/>
        </w:rPr>
        <w:footnoteRef/>
      </w:r>
      <w:r>
        <w:rPr>
          <w:rFonts w:ascii="Times New Roman" w:eastAsia="Times New Roman" w:hAnsi="Times New Roman" w:cs="Times New Roman"/>
          <w:sz w:val="20"/>
          <w:szCs w:val="20"/>
        </w:rPr>
        <w:t> Zain et al., 2023</w:t>
      </w:r>
    </w:p>
  </w:footnote>
  <w:footnote w:id="4">
    <w:p>
      <w:r>
        <w:rPr>
          <w:rStyle w:val="FootnoteReference"/>
        </w:rPr>
        <w:footnoteRef/>
      </w:r>
      <w:r>
        <w:rPr>
          <w:rFonts w:ascii="Times New Roman" w:eastAsia="Times New Roman" w:hAnsi="Times New Roman" w:cs="Times New Roman"/>
          <w:sz w:val="20"/>
          <w:szCs w:val="20"/>
        </w:rPr>
        <w:t> Pangarkar &amp; Prabhudesai, 2024</w:t>
      </w:r>
    </w:p>
  </w:footnote>
  <w:footnote w:id="5">
    <w:p>
      <w:r>
        <w:rPr>
          <w:rStyle w:val="FootnoteReference"/>
        </w:rPr>
        <w:footnoteRef/>
      </w:r>
      <w:r>
        <w:rPr>
          <w:rFonts w:ascii="Times New Roman" w:eastAsia="Times New Roman" w:hAnsi="Times New Roman" w:cs="Times New Roman"/>
          <w:sz w:val="20"/>
          <w:szCs w:val="20"/>
        </w:rPr>
        <w:t> Suryati &amp; Lusiah, 2022</w:t>
      </w:r>
    </w:p>
  </w:footnote>
  <w:footnote w:id="6">
    <w:p>
      <w:r>
        <w:rPr>
          <w:rStyle w:val="FootnoteReference"/>
        </w:rPr>
        <w:footnoteRef/>
      </w:r>
      <w:r>
        <w:rPr>
          <w:rFonts w:ascii="Times New Roman" w:eastAsia="Times New Roman" w:hAnsi="Times New Roman" w:cs="Times New Roman"/>
          <w:sz w:val="20"/>
          <w:szCs w:val="20"/>
        </w:rPr>
        <w:t> Thomran et al., 2022</w:t>
      </w:r>
    </w:p>
  </w:footnote>
  <w:footnote w:id="7">
    <w:p>
      <w:r>
        <w:rPr>
          <w:rStyle w:val="FootnoteReference"/>
        </w:rPr>
        <w:footnoteRef/>
      </w:r>
      <w:r>
        <w:rPr>
          <w:rFonts w:ascii="Times New Roman" w:eastAsia="Times New Roman" w:hAnsi="Times New Roman" w:cs="Times New Roman"/>
          <w:sz w:val="20"/>
          <w:szCs w:val="20"/>
        </w:rPr>
        <w:t> Mangla et al., 2021</w:t>
      </w:r>
    </w:p>
  </w:footnote>
  <w:footnote w:id="8">
    <w:p>
      <w:r>
        <w:rPr>
          <w:rStyle w:val="FootnoteReference"/>
        </w:rPr>
        <w:footnoteRef/>
      </w:r>
      <w:r>
        <w:rPr>
          <w:rFonts w:ascii="Times New Roman" w:eastAsia="Times New Roman" w:hAnsi="Times New Roman" w:cs="Times New Roman"/>
          <w:sz w:val="20"/>
          <w:szCs w:val="20"/>
        </w:rPr>
        <w:t> Taneo et al., 2022</w:t>
      </w:r>
    </w:p>
  </w:footnote>
  <w:footnote w:id="9">
    <w:p>
      <w:r>
        <w:rPr>
          <w:rStyle w:val="FootnoteReference"/>
        </w:rPr>
        <w:footnoteRef/>
      </w:r>
      <w:r>
        <w:rPr>
          <w:rFonts w:ascii="Times New Roman" w:eastAsia="Times New Roman" w:hAnsi="Times New Roman" w:cs="Times New Roman"/>
          <w:sz w:val="20"/>
          <w:szCs w:val="20"/>
        </w:rPr>
        <w:t> Mammen et al., 2021</w:t>
      </w:r>
    </w:p>
  </w:footnote>
  <w:footnote w:id="10">
    <w:p>
      <w:r>
        <w:rPr>
          <w:rStyle w:val="FootnoteReference"/>
        </w:rPr>
        <w:footnoteRef/>
      </w:r>
      <w:r>
        <w:rPr>
          <w:rFonts w:ascii="Times New Roman" w:eastAsia="Times New Roman" w:hAnsi="Times New Roman" w:cs="Times New Roman"/>
          <w:sz w:val="20"/>
          <w:szCs w:val="20"/>
        </w:rPr>
        <w:t> Thomran et al., 2022</w:t>
      </w:r>
    </w:p>
  </w:footnote>
  <w:footnote w:id="11">
    <w:p>
      <w:r>
        <w:rPr>
          <w:rStyle w:val="FootnoteReference"/>
        </w:rPr>
        <w:footnoteRef/>
      </w:r>
      <w:r>
        <w:rPr>
          <w:rFonts w:ascii="Times New Roman" w:eastAsia="Times New Roman" w:hAnsi="Times New Roman" w:cs="Times New Roman"/>
          <w:sz w:val="20"/>
          <w:szCs w:val="20"/>
        </w:rPr>
        <w:t> Shah et al., 2023</w:t>
      </w:r>
    </w:p>
  </w:footnote>
  <w:footnote w:id="12">
    <w:p>
      <w:r>
        <w:rPr>
          <w:rStyle w:val="FootnoteReference"/>
        </w:rPr>
        <w:footnoteRef/>
      </w:r>
      <w:r>
        <w:rPr>
          <w:rFonts w:ascii="Times New Roman" w:eastAsia="Times New Roman" w:hAnsi="Times New Roman" w:cs="Times New Roman"/>
          <w:sz w:val="20"/>
          <w:szCs w:val="20"/>
        </w:rPr>
        <w:t> Suryati &amp; Lusiah, 2022</w:t>
      </w:r>
    </w:p>
  </w:footnote>
  <w:footnote w:id="13">
    <w:p>
      <w:r>
        <w:rPr>
          <w:rStyle w:val="FootnoteReference"/>
        </w:rPr>
        <w:footnoteRef/>
      </w:r>
      <w:r>
        <w:rPr>
          <w:rFonts w:ascii="Times New Roman" w:eastAsia="Times New Roman" w:hAnsi="Times New Roman" w:cs="Times New Roman"/>
          <w:sz w:val="20"/>
          <w:szCs w:val="20"/>
        </w:rPr>
        <w:t> Pangarkar &amp; Prabhudesai, 2024</w:t>
      </w:r>
    </w:p>
  </w:footnote>
  <w:footnote w:id="14">
    <w:p>
      <w:r>
        <w:rPr>
          <w:rStyle w:val="FootnoteReference"/>
        </w:rPr>
        <w:footnoteRef/>
      </w:r>
      <w:r>
        <w:rPr>
          <w:rFonts w:ascii="Times New Roman" w:eastAsia="Times New Roman" w:hAnsi="Times New Roman" w:cs="Times New Roman"/>
          <w:sz w:val="20"/>
          <w:szCs w:val="20"/>
        </w:rPr>
        <w:t> Pangarkar &amp; Prabhudesai, 2024</w:t>
      </w:r>
    </w:p>
  </w:footnote>
  <w:footnote w:id="15">
    <w:p>
      <w:r>
        <w:rPr>
          <w:rStyle w:val="FootnoteReference"/>
        </w:rPr>
        <w:footnoteRef/>
      </w:r>
      <w:r>
        <w:rPr>
          <w:rFonts w:ascii="Times New Roman" w:eastAsia="Times New Roman" w:hAnsi="Times New Roman" w:cs="Times New Roman"/>
          <w:sz w:val="20"/>
          <w:szCs w:val="20"/>
        </w:rPr>
        <w:t> Miklian &amp; Hoelscher, 2022</w:t>
      </w:r>
    </w:p>
  </w:footnote>
  <w:footnote w:id="16">
    <w:p>
      <w:r>
        <w:rPr>
          <w:rStyle w:val="FootnoteReference"/>
        </w:rPr>
        <w:footnoteRef/>
      </w:r>
      <w:r>
        <w:rPr>
          <w:rFonts w:ascii="Times New Roman" w:eastAsia="Times New Roman" w:hAnsi="Times New Roman" w:cs="Times New Roman"/>
          <w:sz w:val="20"/>
          <w:szCs w:val="20"/>
        </w:rPr>
        <w:t> Mammen et al., 2021</w:t>
      </w:r>
    </w:p>
  </w:footnote>
  <w:footnote w:id="17">
    <w:p>
      <w:r>
        <w:rPr>
          <w:rStyle w:val="FootnoteReference"/>
        </w:rPr>
        <w:footnoteRef/>
      </w:r>
      <w:r>
        <w:rPr>
          <w:rFonts w:ascii="Times New Roman" w:eastAsia="Times New Roman" w:hAnsi="Times New Roman" w:cs="Times New Roman"/>
          <w:sz w:val="20"/>
          <w:szCs w:val="20"/>
        </w:rPr>
        <w:t> Thomran et al., 2022</w:t>
      </w:r>
    </w:p>
  </w:footnote>
  <w:footnote w:id="18">
    <w:p>
      <w:r>
        <w:rPr>
          <w:rStyle w:val="FootnoteReference"/>
        </w:rPr>
        <w:footnoteRef/>
      </w:r>
      <w:r>
        <w:rPr>
          <w:rFonts w:ascii="Times New Roman" w:eastAsia="Times New Roman" w:hAnsi="Times New Roman" w:cs="Times New Roman"/>
          <w:sz w:val="20"/>
          <w:szCs w:val="20"/>
        </w:rPr>
        <w:t> Dukhaykh &amp; Alangri, 2026</w:t>
      </w:r>
    </w:p>
  </w:footnote>
  <w:footnote w:id="19">
    <w:p>
      <w:r>
        <w:rPr>
          <w:rStyle w:val="FootnoteReference"/>
        </w:rPr>
        <w:footnoteRef/>
      </w:r>
      <w:r>
        <w:rPr>
          <w:rFonts w:ascii="Times New Roman" w:eastAsia="Times New Roman" w:hAnsi="Times New Roman" w:cs="Times New Roman"/>
          <w:sz w:val="20"/>
          <w:szCs w:val="20"/>
        </w:rPr>
        <w:t> Nasa et al., 2021</w:t>
      </w:r>
    </w:p>
  </w:footnote>
  <w:footnote w:id="20">
    <w:p>
      <w:r>
        <w:rPr>
          <w:rStyle w:val="FootnoteReference"/>
        </w:rPr>
        <w:footnoteRef/>
      </w:r>
      <w:r>
        <w:rPr>
          <w:rFonts w:ascii="Times New Roman" w:eastAsia="Times New Roman" w:hAnsi="Times New Roman" w:cs="Times New Roman"/>
          <w:sz w:val="20"/>
          <w:szCs w:val="20"/>
        </w:rPr>
        <w:t> Schmidt, 1997</w:t>
      </w:r>
    </w:p>
  </w:footnote>
  <w:footnote w:id="21">
    <w:p>
      <w:r>
        <w:rPr>
          <w:rStyle w:val="FootnoteReference"/>
        </w:rPr>
        <w:footnoteRef/>
      </w:r>
      <w:r>
        <w:rPr>
          <w:rFonts w:ascii="Times New Roman" w:eastAsia="Times New Roman" w:hAnsi="Times New Roman" w:cs="Times New Roman"/>
          <w:sz w:val="20"/>
          <w:szCs w:val="20"/>
        </w:rPr>
        <w:t> Arte &amp; Larimo, 2022</w:t>
      </w:r>
    </w:p>
  </w:footnote>
  <w:footnote w:id="22">
    <w:p>
      <w:r>
        <w:rPr>
          <w:rStyle w:val="FootnoteReference"/>
        </w:rPr>
        <w:footnoteRef/>
      </w:r>
      <w:r>
        <w:rPr>
          <w:rFonts w:ascii="Times New Roman" w:eastAsia="Times New Roman" w:hAnsi="Times New Roman" w:cs="Times New Roman"/>
          <w:sz w:val="20"/>
          <w:szCs w:val="20"/>
        </w:rPr>
        <w:t> Mammen et al., 2021</w:t>
      </w:r>
    </w:p>
  </w:footnote>
  <w:footnote w:id="23">
    <w:p>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