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و با روش AHP وزن‌دهی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امتیاز دادند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۴۴</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۴۸</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۴۹</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۵۲</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۵۳</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۵۳</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۵۴</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۵۴</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۵۴</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۵۴</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۵۴</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۵۵</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۵۶</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۵۶</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۵۸</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۶۱</w:t>
        </w:r>
        <w:r>
          <w:rPr>
            <w:noProof/>
            <w:rtl/>
          </w:rPr>
          <w:fldChar w:fldCharType="end"/>
        </w:r>
      </w:hyperlink>
    </w:p>
    <w:p>
      <w:pPr>
        <w:pStyle w:val="TOC2"/>
        <w:bidi/>
      </w:pPr>
      <w:hyperlink w:anchor="_Toc200000057"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۶۵</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۶۹</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۷۱</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2"/>
        <w:bidi/>
      </w:pPr>
      <w:hyperlink w:anchor="_Toc200000068"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۷۵</w:t>
        </w:r>
        <w:r>
          <w:rPr>
            <w:noProof/>
            <w:rtl/>
          </w:rPr>
          <w:fldChar w:fldCharType="end"/>
        </w:r>
      </w:hyperlink>
    </w:p>
    <w:p>
      <w:pPr>
        <w:pStyle w:val="TOC3"/>
        <w:bidi/>
      </w:pPr>
      <w:hyperlink w:anchor="_Toc200000072" w:history="1">
        <w:r>
          <w:rPr>
            <w:noProof/>
            <w:rtl/>
          </w:rPr>
          <w:t xml:space="preserve">۴ـ۶ـ۱ وزن‌دهی و رتبه‌بندی به روش AHP</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۷۹</w:t>
        </w:r>
        <w:r>
          <w:rPr>
            <w:noProof/>
            <w:rtl/>
          </w:rPr>
          <w:fldChar w:fldCharType="end"/>
        </w:r>
      </w:hyperlink>
    </w:p>
    <w:p>
      <w:pPr>
        <w:pStyle w:val="TOC2"/>
        <w:bidi/>
      </w:pPr>
      <w:hyperlink w:anchor="_Toc200000075" w:history="1">
        <w:r>
          <w:rPr>
            <w:noProof/>
            <w:rtl/>
          </w:rPr>
          <w:t xml:space="preserve">۴ـ۷ جمع‌بندی فصل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۸۲</w:t>
        </w:r>
        <w:r>
          <w:rPr>
            <w:noProof/>
            <w:rtl/>
          </w:rPr>
          <w:fldChar w:fldCharType="end"/>
        </w:r>
      </w:hyperlink>
    </w:p>
    <w:p>
      <w:pPr>
        <w:pStyle w:val="TOC1"/>
        <w:bidi/>
      </w:pPr>
      <w:hyperlink w:anchor="_Toc200000076" w:history="1">
        <w:r>
          <w:rPr>
            <w:noProof/>
            <w:rtl/>
          </w:rPr>
          <w:t xml:space="preserve">فصل پنجم: بحث و نتیجه‌گیری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۸۴</w:t>
        </w:r>
        <w:r>
          <w:rPr>
            <w:noProof/>
            <w:rtl/>
          </w:rPr>
          <w:fldChar w:fldCharType="end"/>
        </w:r>
      </w:hyperlink>
    </w:p>
    <w:p>
      <w:pPr>
        <w:pStyle w:val="TOC2"/>
        <w:bidi/>
      </w:pPr>
      <w:hyperlink w:anchor="_Toc200000077" w:history="1">
        <w:r>
          <w:rPr>
            <w:noProof/>
            <w:rtl/>
          </w:rPr>
          <w:t xml:space="preserve">۵ـ۱ مقدمه</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۸۵</w:t>
        </w:r>
        <w:r>
          <w:rPr>
            <w:noProof/>
            <w:rtl/>
          </w:rPr>
          <w:fldChar w:fldCharType="end"/>
        </w:r>
      </w:hyperlink>
    </w:p>
    <w:p>
      <w:pPr>
        <w:pStyle w:val="TOC2"/>
        <w:bidi/>
      </w:pPr>
      <w:hyperlink w:anchor="_Toc200000078" w:history="1">
        <w:r>
          <w:rPr>
            <w:noProof/>
            <w:rtl/>
          </w:rPr>
          <w:t xml:space="preserve">۵ـ۲ مروری بر خلاصه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۸۵</w:t>
        </w:r>
        <w:r>
          <w:rPr>
            <w:noProof/>
            <w:rtl/>
          </w:rPr>
          <w:fldChar w:fldCharType="end"/>
        </w:r>
      </w:hyperlink>
    </w:p>
    <w:p>
      <w:pPr>
        <w:pStyle w:val="TOC2"/>
        <w:bidi/>
      </w:pPr>
      <w:hyperlink w:anchor="_Toc200000079" w:history="1">
        <w:r>
          <w:rPr>
            <w:noProof/>
            <w:rtl/>
          </w:rPr>
          <w:t xml:space="preserve">۵ـ۳ بحث و نتیجه‌گیری</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۸۶</w:t>
        </w:r>
        <w:r>
          <w:rPr>
            <w:noProof/>
            <w:rtl/>
          </w:rPr>
          <w:fldChar w:fldCharType="end"/>
        </w:r>
      </w:hyperlink>
    </w:p>
    <w:p>
      <w:pPr>
        <w:pStyle w:val="TOC3"/>
        <w:bidi/>
      </w:pPr>
      <w:hyperlink w:anchor="_Toc200000080"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۸۶</w:t>
        </w:r>
        <w:r>
          <w:rPr>
            <w:noProof/>
            <w:rtl/>
          </w:rPr>
          <w:fldChar w:fldCharType="end"/>
        </w:r>
      </w:hyperlink>
    </w:p>
    <w:p>
      <w:pPr>
        <w:pStyle w:val="TOC3"/>
        <w:bidi/>
      </w:pPr>
      <w:hyperlink w:anchor="_Toc200000082"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۹۱</w:t>
        </w:r>
        <w:r>
          <w:rPr>
            <w:noProof/>
            <w:rtl/>
          </w:rPr>
          <w:fldChar w:fldCharType="end"/>
        </w:r>
      </w:hyperlink>
    </w:p>
    <w:p>
      <w:pPr>
        <w:pStyle w:val="TOC2"/>
        <w:bidi/>
      </w:pPr>
      <w:hyperlink w:anchor="_Toc200000083" w:history="1">
        <w:r>
          <w:rPr>
            <w:noProof/>
            <w:rtl/>
          </w:rPr>
          <w:t xml:space="preserve">۵ـ۴ پیشنهادات تحقیق</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۹۴</w:t>
        </w:r>
        <w:r>
          <w:rPr>
            <w:noProof/>
            <w:rtl/>
          </w:rPr>
          <w:fldChar w:fldCharType="end"/>
        </w:r>
      </w:hyperlink>
    </w:p>
    <w:p>
      <w:pPr>
        <w:pStyle w:val="TOC2"/>
        <w:bidi/>
      </w:pPr>
      <w:hyperlink w:anchor="_Toc200000084" w:history="1">
        <w:r>
          <w:rPr>
            <w:noProof/>
            <w:rtl/>
          </w:rPr>
          <w:t xml:space="preserve">۵ـ۵ محدودیت‌های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۹۶</w:t>
        </w:r>
        <w:r>
          <w:rPr>
            <w:noProof/>
            <w:rtl/>
          </w:rPr>
          <w:fldChar w:fldCharType="end"/>
        </w:r>
      </w:hyperlink>
    </w:p>
    <w:p>
      <w:pPr>
        <w:pStyle w:val="TOC2"/>
        <w:bidi/>
      </w:pPr>
      <w:hyperlink w:anchor="_Toc200000085"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۹۶</w:t>
        </w:r>
        <w:r>
          <w:rPr>
            <w:noProof/>
            <w:rtl/>
          </w:rPr>
          <w:fldChar w:fldCharType="end"/>
        </w:r>
      </w:hyperlink>
    </w:p>
    <w:p>
      <w:pPr>
        <w:pStyle w:val="TOC1"/>
        <w:bidi/>
      </w:pPr>
      <w:hyperlink w:anchor="_Toc200000086" w:history="1">
        <w:r>
          <w:rPr>
            <w:noProof/>
            <w:rtl/>
          </w:rPr>
          <w:t xml:space="preserve">منابع</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۹۸</w:t>
        </w:r>
        <w:r>
          <w:rPr>
            <w:noProof/>
            <w:rtl/>
          </w:rPr>
          <w:fldChar w:fldCharType="end"/>
        </w:r>
      </w:hyperlink>
    </w:p>
    <w:p>
      <w:pPr>
        <w:pStyle w:val="TOC2"/>
        <w:bidi/>
      </w:pPr>
      <w:hyperlink w:anchor="_Toc200000087" w:history="1">
        <w:r>
          <w:rPr>
            <w:noProof/>
            <w:rtl/>
          </w:rPr>
          <w:t xml:space="preserve">منابع داخلی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۹۹</w:t>
        </w:r>
        <w:r>
          <w:rPr>
            <w:noProof/>
            <w:rtl/>
          </w:rPr>
          <w:fldChar w:fldCharType="end"/>
        </w:r>
      </w:hyperlink>
    </w:p>
    <w:p>
      <w:pPr>
        <w:pStyle w:val="TOC2"/>
        <w:bidi/>
      </w:pPr>
      <w:hyperlink w:anchor="_Toc200000088" w:history="1">
        <w:r>
          <w:rPr>
            <w:noProof/>
            <w:rtl/>
          </w:rPr>
          <w:t xml:space="preserve">منابع خارجی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۱۰۰</w:t>
        </w:r>
        <w:r>
          <w:rPr>
            <w:noProof/>
            <w:rtl/>
          </w:rPr>
          <w:fldChar w:fldCharType="end"/>
        </w:r>
      </w:hyperlink>
    </w:p>
    <w:p>
      <w:pPr>
        <w:pStyle w:val="TOC1"/>
        <w:bidi/>
      </w:pPr>
      <w:hyperlink w:anchor="_Toc200000089" w:history="1">
        <w:r>
          <w:rPr>
            <w:noProof/>
            <w:rtl/>
          </w:rPr>
          <w:t xml:space="preserve">پیوست‌ها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۱۰۳</w:t>
        </w:r>
        <w:r>
          <w:rPr>
            <w:noProof/>
            <w:rtl/>
          </w:rPr>
          <w:fldChar w:fldCharType="end"/>
        </w:r>
      </w:hyperlink>
    </w:p>
    <w:p>
      <w:pPr>
        <w:pStyle w:val="TOC2"/>
        <w:bidi/>
      </w:pPr>
      <w:hyperlink w:anchor="_Toc200000090" w:history="1">
        <w:r>
          <w:rPr>
            <w:noProof/>
            <w:rtl/>
          </w:rPr>
          <w:t xml:space="preserve">پیوست الف: فرم خام مصاحبه دور نخست دلفی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۱۰۴</w:t>
        </w:r>
        <w:r>
          <w:rPr>
            <w:noProof/>
            <w:rtl/>
          </w:rPr>
          <w:fldChar w:fldCharType="end"/>
        </w:r>
      </w:hyperlink>
    </w:p>
    <w:p>
      <w:pPr>
        <w:pStyle w:val="TOC2"/>
        <w:bidi/>
      </w:pPr>
      <w:hyperlink w:anchor="_Toc200000091" w:history="1">
        <w:r>
          <w:rPr>
            <w:noProof/>
            <w:rtl/>
          </w:rPr>
          <w:t xml:space="preserve">پیوست ب: فرم خام پرسشنامه دور دوم دلفی (رتبه‌بندی گویه‌ها)</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۱۰۷</w:t>
        </w:r>
        <w:r>
          <w:rPr>
            <w:noProof/>
            <w:rtl/>
          </w:rPr>
          <w:fldChar w:fldCharType="end"/>
        </w:r>
      </w:hyperlink>
    </w:p>
    <w:p>
      <w:pPr>
        <w:pStyle w:val="TOC2"/>
        <w:bidi/>
      </w:pPr>
      <w:hyperlink w:anchor="_Toc200000092" w:history="1">
        <w:r>
          <w:rPr>
            <w:noProof/>
            <w:rtl/>
          </w:rPr>
          <w:t xml:space="preserve">پیوست پ: فرم خام پرسشنامه دور سوم دلفی (بازنگری رتبه‌بندی با بازخورد گروهی)</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۱۱۰</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۴۹</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۶۲</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۶۳</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۶۴</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مؤلفه، اعضای اشاره‌کننده و همتای ادبی</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۶۶</w:t>
        </w:r>
        <w:r>
          <w:rPr>
            <w:noProof/>
            <w:rtl/>
          </w:rPr>
          <w:fldChar w:fldCharType="end"/>
        </w:r>
      </w:hyperlink>
    </w:p>
    <w:p>
      <w:pPr>
        <w:pStyle w:val="TOC4"/>
        <w:bidi/>
      </w:pPr>
      <w:hyperlink w:anchor="_Toc200000059"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۶۹</w:t>
        </w:r>
        <w:r>
          <w:rPr>
            <w:noProof/>
            <w:rtl/>
          </w:rPr>
          <w:fldChar w:fldCharType="end"/>
        </w:r>
      </w:hyperlink>
    </w:p>
    <w:p>
      <w:pPr>
        <w:pStyle w:val="TOC4"/>
        <w:bidi/>
      </w:pPr>
      <w:hyperlink w:anchor="_Toc200000063" w:history="1">
        <w:r>
          <w:rPr>
            <w:noProof/>
            <w:rtl/>
          </w:rPr>
          <w:t xml:space="preserve">جدول ۴-۹ آمار توصیفی امتیاز اهمیت گویه‌ها در دور سوم</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۷۱</w:t>
        </w:r>
        <w:r>
          <w:rPr>
            <w:noProof/>
            <w:rtl/>
          </w:rPr>
          <w:fldChar w:fldCharType="end"/>
        </w:r>
      </w:hyperlink>
    </w:p>
    <w:p>
      <w:pPr>
        <w:pStyle w:val="TOC4"/>
        <w:bidi/>
      </w:pPr>
      <w:hyperlink w:anchor="_Toc200000065"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۷۴</w:t>
        </w:r>
        <w:r>
          <w:rPr>
            <w:noProof/>
            <w:rtl/>
          </w:rPr>
          <w:fldChar w:fldCharType="end"/>
        </w:r>
      </w:hyperlink>
    </w:p>
    <w:p>
      <w:pPr>
        <w:pStyle w:val="TOC4"/>
        <w:bidi/>
      </w:pPr>
      <w:hyperlink w:anchor="_Toc200000067"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۷۵</w:t>
        </w:r>
        <w:r>
          <w:rPr>
            <w:noProof/>
            <w:rtl/>
          </w:rPr>
          <w:fldChar w:fldCharType="end"/>
        </w:r>
      </w:hyperlink>
    </w:p>
    <w:p>
      <w:pPr>
        <w:pStyle w:val="TOC4"/>
        <w:bidi/>
      </w:pPr>
      <w:hyperlink w:anchor="_Toc200000069"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۷۵</w:t>
        </w:r>
        <w:r>
          <w:rPr>
            <w:noProof/>
            <w:rtl/>
          </w:rPr>
          <w:fldChar w:fldCharType="end"/>
        </w:r>
      </w:hyperlink>
    </w:p>
    <w:p>
      <w:pPr>
        <w:pStyle w:val="TOC4"/>
        <w:bidi/>
      </w:pPr>
      <w:hyperlink w:anchor="_Toc200000070"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۷۶</w:t>
        </w:r>
        <w:r>
          <w:rPr>
            <w:noProof/>
            <w:rtl/>
          </w:rPr>
          <w:fldChar w:fldCharType="end"/>
        </w:r>
      </w:hyperlink>
    </w:p>
    <w:p>
      <w:pPr>
        <w:pStyle w:val="TOC4"/>
        <w:bidi/>
      </w:pPr>
      <w:hyperlink w:anchor="_Toc200000071"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۷۷</w:t>
        </w:r>
        <w:r>
          <w:rPr>
            <w:noProof/>
            <w:rtl/>
          </w:rPr>
          <w:fldChar w:fldCharType="end"/>
        </w:r>
      </w:hyperlink>
    </w:p>
    <w:p>
      <w:pPr>
        <w:pStyle w:val="TOC4"/>
        <w:bidi/>
      </w:pPr>
      <w:hyperlink w:anchor="_Toc200000073" w:history="1">
        <w:r>
          <w:rPr>
            <w:noProof/>
            <w:rtl/>
          </w:rPr>
          <w:t xml:space="preserve">جدول ۴-۱۵ وزن AHP و رتبه‌بندی مؤلفه‌های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۸۰</w:t>
        </w:r>
        <w:r>
          <w:rPr>
            <w:noProof/>
            <w:rtl/>
          </w:rPr>
          <w:fldChar w:fldCharType="end"/>
        </w:r>
      </w:hyperlink>
    </w:p>
    <w:p>
      <w:pPr>
        <w:pStyle w:val="TOC4"/>
        <w:bidi/>
      </w:pPr>
      <w:hyperlink w:anchor="_Toc200000074" w:history="1">
        <w:r>
          <w:rPr>
            <w:noProof/>
            <w:rtl/>
          </w:rPr>
          <w:t xml:space="preserve">جدول ۴-۱۶ وزن AHP سراسری و رتبه‌بندی گویه‌های چالش فروش</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۸۰</w:t>
        </w:r>
        <w:r>
          <w:rPr>
            <w:noProof/>
            <w:rtl/>
          </w:rPr>
          <w:fldChar w:fldCharType="end"/>
        </w:r>
      </w:hyperlink>
    </w:p>
    <w:p>
      <w:pPr>
        <w:pStyle w:val="TOC4"/>
        <w:bidi/>
      </w:pPr>
      <w:hyperlink w:anchor="_Toc200000081"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۸۹</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 گویه‌ها از کدهای پاسخ خبرگان ساخته شدند و هر گویه دست‌کم در پاسخ یک عضو پانل بازتاب داشت.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 در مقابل، کدی که در ادبیات همتای روشنی نداشت، به‌دلیل بازتاب در پاسخ خبرگان در فهرست ماند. حاصل این مرحله ۲۹ گویه در نُه مؤلفه بود؛ نتیجه سنجش هر گویه با جدول ۲-۱ در ستون «همتای ادبی» جدول ۴-۶ آمده است.</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3"/>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4"/>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05"/>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6"/>
      </w:r>
      <w:r>
        <w:rPr>
          <w:rtl/>
        </w:rPr>
        <w:t xml:space="preserve">.</w:t>
      </w:r>
      <w:r>
        <w:rPr>
          <w:rtl/>
        </w:rPr>
        <w:t xml:space="preserve"> سلسله‌مراتب تصمیم در سه سطح تعریف شد: هدف، که شناسایی و اولویت‌بندی چالش‌های فروش است؛ نُه مؤلفه؛ و ۲۹ گویه زیر هر مؤلفه.</w:t>
      </w:r>
      <w:r>
        <w:rPr>
          <w:rtl/>
        </w:rPr>
        <w:t xml:space="preserve"> وزن‌ها بدون محاسبه‌ی مقایسه‌های زوجی و مستقیماً از میانگین امتیاز هر گویه در دور سوم به دست آمدند.</w:t>
      </w:r>
    </w:p>
    <w:p>
      <w:pPr>
        <w:bidi/>
        <w:spacing w:after="80" w:line="276" w:lineRule="auto"/>
        <w:ind w:firstLine="720"/>
        <w:jc w:val="both"/>
      </w:pPr>
      <w:r>
        <w:rPr>
          <w:rtl/>
        </w:rPr>
        <w:t xml:space="preserve">وزن هر مؤلفه برابر است با سهم میانگین آن از مجموع میانگین‌های نُه مؤلفه.</w:t>
      </w:r>
      <w:r>
        <w:rPr>
          <w:rtl/>
        </w:rPr>
        <w:t xml:space="preserve"> وزن محلی هر گویه برابر است با سهم میانگین آن از مجموع میانگین‌های گویه‌های همان مؤلفه، و وزن سراسری گویه حاصل ضرب وزن مؤلفه در وزن محلی آن است.</w:t>
      </w:r>
      <w:r>
        <w:rPr>
          <w:rtl/>
        </w:rPr>
        <w:t xml:space="preserve"> مجموع وزن‌های سراسری ۲۹ گویه برابر یک است.</w:t>
      </w:r>
      <w:r>
        <w:rPr>
          <w:rtl/>
        </w:rPr>
        <w:t xml:space="preserve"/>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7"/>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8"/>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دلفی را به ترتیبی که اجرا شدند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w:t>
      </w:r>
      <w:r>
        <w:rPr>
          <w:rFonts w:ascii="Times New Roman" w:hAnsi="Times New Roman" w:cs="Times New Roman" w:eastAsia="Times New Roman"/>
          <w:sz w:val="26"/>
          <w:szCs w:val="26"/>
        </w:rPr>
        <w:t xml:space="preserve">AHP</w:t>
      </w:r>
      <w:r>
        <w:rPr>
          <w:rtl/>
        </w:rPr>
        <w:t xml:space="preserve"> آن‌ها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 و مؤلفه‌ها</w:t>
      </w:r>
      <w:bookmarkEnd w:id="57"/>
    </w:p>
    <w:p>
      <w:pPr>
        <w:bidi/>
        <w:spacing w:after="80"/>
        <w:ind w:firstLine="720"/>
        <w:jc w:val="both"/>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9"/>
      </w:r>
      <w:r>
        <w:rPr>
          <w:rtl/>
        </w:rPr>
        <w:t xml:space="preserve"> در شش مرحله کدگذاری و تحلیل شدند (شرح کامل این فرایند در بخش ۳-۷-۱ آمده است). کدهای استخراج‌شده با چالش‌های برگرفته از ادبیات (جدول ۲-۱) سنجیده و ترکیب شدند؛ هر گویه دست‌کم در پاسخ یک عضو پانل بازتاب داشت و گویه‌ها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مؤلفه، اعضای اشاره‌کننده و همتای ادبی" \f T \l 4 </w:instrText>
      </w:r>
      <w:r>
        <w:fldChar w:fldCharType="end"/>
      </w:r>
      <w:r>
        <w:t xml:space="preserve">جدول ۴-۶ گویه‌های استخراج‌شده از دور نخست </w:t>
      </w:r>
      <w:r>
        <w:t xml:space="preserve">به تفکیک مؤلفه، اعضای اشاره‌کننده و همتای ادبی</w:t>
      </w:r>
      <w:r>
        <w:t xml:space="preserve">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800"/>
        <w:gridCol w:w="2580"/>
        <w:gridCol w:w="1260"/>
        <w:gridCol w:w="1828"/>
      </w:tblGrid>
      <w:tr>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9" w:name="_Toc200000059"/>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\f T \l 4 </w:instrText>
      </w:r>
      <w:r>
        <w:fldChar w:fldCharType="end"/>
      </w:r>
      <w:r>
        <w:t xml:space="preserve">جدول ۴-۸ آمار توصیفی </w:t>
      </w:r>
      <w:r>
        <w:t xml:space="preserve">امتیاز اهمیت گویه‌ها در دور دوم</w:t>
      </w:r>
      <w:r>
        <w:t xml:space="preserve">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3" w:name="_Toc200000063"/>
      <w:r>
        <w:fldChar w:fldCharType="begin"/>
      </w:r>
      <w:r>
        <w:instrText xml:space="preserve"> TC "جدول ۴-۹ آمار توصیفی امتیاز اهمیت گویه‌ها در دور سوم" \f T \l 4 </w:instrText>
      </w:r>
      <w:r>
        <w:fldChar w:fldCharType="end"/>
      </w:r>
      <w:r>
        <w:t xml:space="preserve">جدول ۴-۹ آمار توصیفی </w:t>
      </w:r>
      <w:r>
        <w:t xml:space="preserve">امتیاز اهمیت گویه‌ها در دور سوم</w:t>
      </w:r>
      <w:r>
        <w:t xml:space="preserve">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0"/>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11"/>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5" w:name="_Toc200000065"/>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2"/>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3"/>
      </w:r>
      <w:r>
        <w:rPr>
          <w:rtl/>
        </w:rPr>
        <w:t>.</w:t>
      </w:r>
    </w:p>
    <w:p>
      <w:pPr>
        <w:pStyle w:val="TableCaption"/>
        <w:keepNext/>
        <w:spacing w:before="160" w:after="80"/>
        <w:jc w:val="center"/>
        <w:rPr>
          <w:vanish/>
        </w:rPr>
      </w:pPr>
      <w:bookmarkStart w:id="67" w:name="_Toc200000067"/>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8" w:name="_Toc200000068"/>
      <w:r>
        <w:t xml:space="preserve">۴ـ۶ پاسخ به پرسش‌های پژوهش و رتبه‌بندی نهایی</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9" w:name="_Toc200000069"/>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70" w:name="_Toc200000070"/>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7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1" w:name="_Toc200000071"/>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pPr>
      <w:bookmarkStart w:id="72" w:name="_Toc200000072"/>
      <w:r>
        <w:t xml:space="preserve">۴ـ۶ـ۱ وزن‌دهی و رتبه‌بندی به روش AHP</w:t>
      </w:r>
      <w:bookmarkEnd w:id="72"/>
    </w:p>
    <w:p>
      <w:pPr>
        <w:bidi/>
        <w:spacing w:after="80"/>
        <w:ind w:firstLine="720"/>
        <w:jc w:val="both"/>
      </w:pPr>
      <w:r>
        <w:rPr>
          <w:rtl/>
        </w:rPr>
        <w:t xml:space="preserve">وزن‌دهی و رتبه‌بندی با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14"/>
      </w:r>
      <w:r>
        <w:rPr>
          <w:rtl/>
        </w:rPr>
        <w:t xml:space="preserve">. سلسله‌مراتب تصمیم در سه سطح تعریف شد: هدف، که شناسایی و اولویت‌بندی چالش‌های فروش است؛ نُه مؤلفه؛ و ۲۹ گویه زیر هر مؤلفه. وزن‌ها بدون محاسبه‌ی مقایسه‌های زوجی و مستقیماً از میانگین امتیاز هر گویه در دور سوم به دست آمدند.</w:t>
      </w:r>
    </w:p>
    <w:p>
      <w:pPr>
        <w:bidi/>
        <w:spacing w:after="80"/>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جدول ۴-۱۵ وزن و رتبه مؤلفه‌ها و جدول ۴-۱۶ وزن سراسری گویه‌ها را نشان می‌دهد.</w:t>
      </w:r>
    </w:p>
    <w:p>
      <w:pPr>
        <w:pStyle w:val="TableCaption"/>
        <w:keepNext/>
        <w:spacing w:before="160" w:after="80"/>
        <w:jc w:val="center"/>
        <w:rPr>
          <w:vanish/>
        </w:rPr>
      </w:pPr>
      <w:bookmarkStart w:id="73" w:name="_Toc200000073"/>
      <w:r>
        <w:fldChar w:fldCharType="begin"/>
      </w:r>
      <w:r>
        <w:instrText xml:space="preserve"> TC "جدول ۴-۱۵ وزن AHP و رتبه‌بندی مؤلفه‌های چالش فروش" \f T \l 4 </w:instrText>
      </w:r>
      <w:r>
        <w:fldChar w:fldCharType="end"/>
      </w:r>
      <w:r>
        <w:t xml:space="preserve">جدول ۴-۱۵ وزن AHP و رتبه‌بندی مؤلفه‌های چالش فروش (منبع: یافته‌های پژوهش)</w:t>
      </w:r>
      <w:bookmarkEnd w:id="7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w:t>
            </w:r>
            <w:r>
              <w:rPr>
                <w:rFonts w:ascii="Times New Roman" w:hAnsi="Times New Roman" w:cs="Times New Roman" w:eastAsia="Times New Roman"/>
                <w:b/>
                <w:bCs/>
                <w:sz w:val="20"/>
                <w:szCs w:val="20"/>
              </w:rPr>
              <w:t xml:space="preserve">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ind w:firstLine="720"/>
        <w:jc w:val="both"/>
      </w:pPr>
      <w:r>
        <w:rPr>
          <w:rtl/>
        </w:rPr>
        <w:t xml:space="preserve">ترتیب مؤلفه‌ها بر پایه وزن </w:t>
      </w:r>
      <w:r>
        <w:rPr>
          <w:rFonts w:ascii="Times New Roman" w:hAnsi="Times New Roman" w:cs="Times New Roman" w:eastAsia="Times New Roman"/>
          <w:sz w:val="26"/>
          <w:szCs w:val="26"/>
        </w:rPr>
        <w:t xml:space="preserve">AHP</w:t>
      </w:r>
      <w:r>
        <w:rPr>
          <w:rtl/>
        </w:rPr>
        <w:t xml:space="preserve">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bookmarkStart w:id="74" w:name="_Toc200000074"/>
      <w:r>
        <w:fldChar w:fldCharType="begin"/>
      </w:r>
      <w:r>
        <w:instrText xml:space="preserve"> TC "جدول ۴-۱۶ وزن AHP سراسری و رتبه‌بندی گویه‌های چالش فروش" \f T \l 4 </w:instrText>
      </w:r>
      <w:r>
        <w:fldChar w:fldCharType="end"/>
      </w:r>
      <w:r>
        <w:t xml:space="preserve">جدول ۴-۱۶ وزن AHP سراسری و رتبه‌بندی گویه‌های چالش فروش (منبع: یافته‌های پژوهش)</w:t>
      </w:r>
      <w:bookmarkEnd w:id="7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ind w:firstLine="720"/>
        <w:jc w:val="both"/>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pPr>
      <w:bookmarkStart w:id="75" w:name="_Toc200000075"/>
      <w:r>
        <w:t xml:space="preserve">۴ـ۷ جمع‌بندی فصل</w:t>
      </w:r>
      <w:bookmarkEnd w:id="75"/>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w:t>
      </w:r>
      <w:r>
        <w:rPr>
          <w:rFonts w:ascii="Times New Roman" w:hAnsi="Times New Roman" w:cs="Times New Roman" w:eastAsia="Times New Roman"/>
          <w:sz w:val="26"/>
          <w:szCs w:val="26"/>
        </w:rPr>
        <w:t xml:space="preserve">AHP</w:t>
      </w:r>
      <w:r>
        <w:rPr>
          <w:rtl/>
        </w:rPr>
        <w:t xml:space="preserve">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6" w:name="_Toc200000076"/>
            <w:r>
              <w:rPr>
                <w:rtl/>
              </w:rPr>
              <w:t xml:space="preserve">فصل پنجم: بحث و نتیجه‌گیری</w:t>
            </w:r>
            <w:bookmarkEnd w:id="76"/>
          </w:p>
        </w:tc>
      </w:tr>
    </w:tbl>
    <w:p>
      <w:pPr>
        <w:pStyle w:val="Heading2"/>
        <w:keepNext/>
        <w:pageBreakBefore/>
        <w:bidi/>
        <w:spacing w:before="240" w:after="80"/>
      </w:pPr>
      <w:bookmarkStart w:id="77" w:name="_Toc200000077"/>
      <w:r>
        <w:t>۵ـ۱ مقدمه</w:t>
      </w:r>
      <w:bookmarkEnd w:id="77"/>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8" w:name="_Toc200000078"/>
      <w:r>
        <w:t>۵ـ۲ مروری بر خلاصه تحقیق</w:t>
      </w:r>
      <w:bookmarkEnd w:id="78"/>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w:t>
      </w:r>
      <w:r>
        <w:rPr>
          <w:rFonts w:ascii="Times New Roman" w:hAnsi="Times New Roman" w:cs="Times New Roman" w:eastAsia="Times New Roman"/>
          <w:sz w:val="26"/>
          <w:szCs w:val="26"/>
        </w:rPr>
        <w:t xml:space="preserve">AHP</w:t>
      </w:r>
      <w:r>
        <w:rPr>
          <w:rtl/>
        </w:rPr>
        <w:t xml:space="preserve"> بدون محاسبه‌ی مقایسه‌های زوجی وزن‌دهی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9" w:name="_Toc200000079"/>
      <w:r>
        <w:t>۵ـ۳ بحث و نتیجه‌گیری</w:t>
      </w:r>
      <w:bookmarkEnd w:id="79"/>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80" w:name="_Toc200000080"/>
      <w:r>
        <w:t>۵ـ۳ـ۱ بحث و نتیجه‌گیری درباره پرسش اول پژوهش</w:t>
      </w:r>
      <w:bookmarkEnd w:id="80"/>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5"/>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6"/>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7"/>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8"/>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9"/>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0"/>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1"/>
      </w:r>
      <w:r>
        <w:rPr>
          <w:rtl/>
        </w:rPr>
        <w:t xml:space="preserve">، محدودیت دانش و مهارت منابع انسانی، از جمله کمبود نیروی فروش ماهر (تانئو و همکاران، ۲۰۲۲)</w:t>
      </w:r>
      <w:r>
        <w:rPr>
          <w:rStyle w:val="FootnoteReference"/>
        </w:rPr>
        <w:footnoteReference w:id="122"/>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1" w:name="_Toc200000081"/>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4"/>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6"/>
            </w:r>
            <w:r>
              <w:rPr>
                <w:sz w:val="22"/>
                <w:szCs w:val="22"/>
                <w:rtl/>
              </w:rPr>
              <w:t xml:space="preserve">؛ پانگارکار و پرابهوداسای (۲۰۲۴) درباره قدرت چانه‌زنی خریدار</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2" w:name="_Toc200000082"/>
      <w:r>
        <w:t>۵ـ۳ـ۲ بحث و نتیجه‌گیری درباره پرسش دوم پژوهش</w:t>
      </w:r>
      <w:bookmarkEnd w:id="82"/>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29"/>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0"/>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1"/>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2"/>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3"/>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4"/>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83" w:name="_Toc200000083"/>
      <w:r>
        <w:t>۵ـ۴ پیشنهادات تحقیق</w:t>
      </w:r>
      <w:bookmarkEnd w:id="83"/>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5"/>
      </w:r>
      <w:r>
        <w:rPr>
          <w:rtl/>
        </w:rPr>
        <w:t xml:space="preserve"> و تنوع مرتبط ریسک بنگاه را می‌کاهد (مامن و همکاران، ۲۰۲۱)</w:t>
      </w:r>
      <w:r>
        <w:rPr>
          <w:rStyle w:val="FootnoteReference"/>
        </w:rPr>
        <w:footnoteReference w:id="136"/>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7"/>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4" w:name="_Toc200000084"/>
      <w:r>
        <w:t>۵ـ۵ محدودیت‌های پژوهش</w:t>
      </w:r>
      <w:bookmarkEnd w:id="84"/>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بدون محاسبه‌ی مقایسه‌های زوجی و بر پایه میانگین امتیاز دور سوم محاسبه شدند؛ از این رو بیانگر اهمیت نسبی امتیازها هستند، نه قضاوت‌های زوجی اعضای پانل.</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5" w:name="_Toc200000085"/>
      <w:r>
        <w:t>۵ـ۶ پیشنهادهایی برای پژوهش‌های آتی</w:t>
      </w:r>
      <w:bookmarkEnd w:id="85"/>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6" w:name="_Toc200000086"/>
            <w:r>
              <w:rPr>
                <w:rtl/>
              </w:rPr>
              <w:t xml:space="preserve">منابع</w:t>
            </w:r>
            <w:bookmarkEnd w:id="86"/>
          </w:p>
        </w:tc>
      </w:tr>
    </w:tbl>
    <w:p>
      <w:pPr>
        <w:pStyle w:val="Heading2"/>
        <w:keepNext/>
        <w:pageBreakBefore/>
        <w:bidi/>
        <w:spacing w:before="0" w:after="80"/>
      </w:pPr>
      <w:bookmarkStart w:id="87" w:name="_Toc200000087"/>
      <w:r>
        <w:t>منابع داخلی</w:t>
      </w:r>
      <w:bookmarkEnd w:id="87"/>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8" w:name="_Toc200000088"/>
      <w:r>
        <w:t>منابع خارجی</w:t>
      </w:r>
      <w:bookmarkEnd w:id="88"/>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9" w:name="_Toc200000089"/>
            <w:r>
              <w:rPr>
                <w:rtl/>
              </w:rPr>
              <w:t xml:space="preserve">پیوست‌ها</w:t>
            </w:r>
            <w:bookmarkEnd w:id="89"/>
          </w:p>
        </w:tc>
      </w:tr>
    </w:tbl>
    <w:p>
      <w:pPr>
        <w:pStyle w:val="Heading2"/>
        <w:keepNext/>
        <w:pageBreakBefore/>
        <w:bidi/>
        <w:spacing w:before="0" w:after="80"/>
      </w:pPr>
      <w:bookmarkStart w:id="90" w:name="_Toc200000090"/>
      <w:r>
        <w:t>پیوست الف: فرم خام مصاحبه دور نخست دلفی</w:t>
      </w:r>
      <w:bookmarkEnd w:id="90"/>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مصاحبه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91" w:name="_Toc200000091"/>
      <w:r>
        <w:t>پیوست ب: فرم خام پرسشنامه دور دوم دلفی (رتبه‌بندی گویه‌ها)</w:t>
      </w:r>
      <w:bookmarkEnd w:id="91"/>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2" w:name="_Toc200000092"/>
      <w:r>
        <w:t>پیوست پ: فرم خام پرسشنامه دور سوم دلفی (بازنگری رتبه‌بندی با بازخورد گروهی)</w:t>
      </w:r>
      <w:bookmarkEnd w:id="92"/>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and the weights were derived with the analytic hierarchy process.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7">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9">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2">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6">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7">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9">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0">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1">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2">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3">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4">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5">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7">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114</Pages>
  <Words>30916</Words>
  <Characters>143067</Characters>
  <Application>Microsoft Office Word</Application>
  <DocSecurity>0</DocSecurity>
  <Paragraphs>2268</Paragraphs>
  <ScaleCrop>false</ScaleCrop>
  <Company/>
  <LinksUpToDate>false</LinksUpToDate>
  <CharactersWithSpaces>174175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