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
        <w:jc w:val="center"/>
      </w:pPr>
      <w:r>
        <w:rPr>
          <w:rFonts w:ascii="Times New Roman" w:cs="Times New Roman" w:eastAsia="Times New Roman" w:hAnsi="Times New Roman"/>
          <w:b/>
          <w:bCs/>
          <w:sz w:val="34"/>
          <w:szCs w:val="34"/>
          <w:rtl/>
        </w:rPr>
        <w:t xml:space="preserve">رسالت زن مسلمان در دنیای معاصر: بازخوانی مبانی، الگوها، ابعاد و چالش‌ها</w:t>
      </w:r>
    </w:p>
    <w:p>
      <w:pPr>
        <w:bidi/>
        <w:spacing w:after="100"/>
        <w:jc w:val="center"/>
      </w:pPr>
      <w:r>
        <w:rPr>
          <w:rFonts w:ascii="Times New Roman" w:cs="Times New Roman" w:eastAsia="Times New Roman" w:hAnsi="Times New Roman"/>
          <w:sz w:val="24"/>
          <w:szCs w:val="24"/>
          <w:rtl/>
        </w:rPr>
        <w:t xml:space="preserve">نویسنده: ............................</w:t>
      </w:r>
    </w:p>
    <w:p>
      <w:pPr>
        <w:bidi/>
        <w:spacing w:after="300"/>
        <w:jc w:val="center"/>
      </w:pPr>
      <w:r>
        <w:rPr>
          <w:rFonts w:ascii="Times New Roman" w:cs="Times New Roman" w:eastAsia="Times New Roman" w:hAnsi="Times New Roman"/>
          <w:sz w:val="22"/>
          <w:szCs w:val="22"/>
          <w:rtl/>
        </w:rPr>
        <w:t xml:space="preserve">وابستگی سازمانی / پست الکترونیک: ............................</w:t>
      </w:r>
    </w:p>
    <w:p>
      <w:pPr>
        <w:pStyle w:val="Heading1"/>
        <w:bidi/>
        <w:spacing w:after="160" w:before="360"/>
      </w:pPr>
      <w:r>
        <w:rPr>
          <w:rFonts w:ascii="Times New Roman" w:cs="Times New Roman" w:eastAsia="Times New Roman" w:hAnsi="Times New Roman"/>
          <w:b/>
          <w:bCs/>
          <w:sz w:val="28"/>
          <w:szCs w:val="28"/>
          <w:rtl/>
        </w:rPr>
        <w:t xml:space="preserve">چکیده</w:t>
      </w:r>
    </w:p>
    <w:p>
      <w:pPr>
        <w:bidi/>
        <w:spacing w:after="120" w:line="360"/>
        <w:ind w:firstLine="360"/>
        <w:jc w:val="both"/>
      </w:pPr>
      <w:r>
        <w:rPr>
          <w:rFonts w:ascii="Times New Roman" w:cs="Times New Roman" w:eastAsia="Times New Roman" w:hAnsi="Times New Roman"/>
          <w:sz w:val="24"/>
          <w:szCs w:val="24"/>
          <w:rtl/>
        </w:rPr>
        <w:t xml:space="preserve">دنیای معاصر با تحولاتی چون جهانی‌شدن، گسترش فناوری‌های ارتباطی و هوش مصنوعی، دگرگونی ساختار خانواده، تحول بازار کار و بحران معنا روبه‌روست و در این فضا پرسش از جایگاه و رسالت زن مسلمان اهمیتی دوچندان یافته است. مسئله‌ی این پژوهش آن است که با دو قرائت افراطی (تقلیل زن به نقش‌های سنتی و همسان‌انگاری مطلق با الگوی غربی) چگونه می‌توان تصویری روزآمد و برخاسته از منابع اصیل اسلامی از رسالت زن ارائه داد. پژوهش با روش توصیفی ـ تحلیلی و گردآوری کتابخانه‌ای، بر پایه‌ی قرآن کریم، سنت، سیره‌ی بانوان نمونه و آرای اندیشمندان مسلمان و پژوهشگران معاصر، رسالت زن مسلمان را در پنج بُعد معنوی، خانوادگی، علمی ـ فرهنگی، اجتماعی ـ اقتصادی و رسانه‌ای بازخوانی می‌کند و برای آن «مدل مفهومی» پیشنهاد می‌دهد. یافته‌ها نشان می‌دهد آموزه‌های اسلامی بر «برابری ارزش انسانی و مسئولیت الهی» زن و مرد و «تکمیل متقابل نقش‌ها» تأکید دارند و زن مسلمان در حوزه‌های بندگی و تزکیه، تربیت، دانش‌اندوزی، اصلاح اجتماعی و روایت‌گری فرهنگی کنش‌گری مسئولانه و مستقل دارد. تعارض نقش‌ها، مصرف‌گرایی، برداشت‌های عرف‌زده، شبهات نسل جدید، آسیب‌های فضای مجازی و تضعیف خانواده از مهم‌ترین موانع ایفای این رسالت‌اند. در پایان راهبردهایی در سطوح فردی، خانوادگی، آموزشی، فرهنگی و سیاست‌گذاری پیشنهاد می‌شود.</w:t>
      </w:r>
    </w:p>
    <w:p>
      <w:pPr>
        <w:bidi/>
        <w:spacing w:after="120" w:line="360"/>
        <w:jc w:val="both"/>
      </w:pPr>
      <w:r>
        <w:rPr>
          <w:rFonts w:ascii="Times New Roman" w:cs="Times New Roman" w:eastAsia="Times New Roman" w:hAnsi="Times New Roman"/>
          <w:b/>
          <w:bCs/>
          <w:sz w:val="24"/>
          <w:szCs w:val="24"/>
          <w:rtl/>
        </w:rPr>
        <w:t xml:space="preserve">کلیدواژه‌ها: </w:t>
      </w:r>
      <w:r>
        <w:rPr>
          <w:rFonts w:ascii="Times New Roman" w:cs="Times New Roman" w:eastAsia="Times New Roman" w:hAnsi="Times New Roman"/>
          <w:sz w:val="24"/>
          <w:szCs w:val="24"/>
          <w:rtl/>
        </w:rPr>
        <w:t xml:space="preserve">زن مسلمان، رسالت، هویت، خانواده، مشارکت اجتماعی، اجتهاد، جهان معاصر</w:t>
      </w:r>
    </w:p>
    <w:p>
      <w:pPr>
        <w:pStyle w:val="Heading1"/>
        <w:bidi/>
        <w:spacing w:after="160" w:before="360"/>
      </w:pPr>
      <w:r>
        <w:rPr>
          <w:rFonts w:ascii="Times New Roman" w:cs="Times New Roman" w:eastAsia="Times New Roman" w:hAnsi="Times New Roman"/>
          <w:b/>
          <w:bCs/>
          <w:sz w:val="28"/>
          <w:szCs w:val="28"/>
          <w:rtl/>
        </w:rPr>
        <w:t xml:space="preserve">۱. مقدمه و بیان مسئله</w:t>
      </w:r>
    </w:p>
    <w:p>
      <w:pPr>
        <w:pStyle w:val="Heading2"/>
        <w:bidi/>
        <w:spacing w:after="120" w:before="240"/>
      </w:pPr>
      <w:r>
        <w:rPr>
          <w:rFonts w:ascii="Times New Roman" w:cs="Times New Roman" w:eastAsia="Times New Roman" w:hAnsi="Times New Roman"/>
          <w:b/>
          <w:bCs/>
          <w:sz w:val="25"/>
          <w:szCs w:val="25"/>
          <w:rtl/>
        </w:rPr>
        <w:t xml:space="preserve">۱.۱ زمینه و ضرورت</w:t>
      </w:r>
    </w:p>
    <w:p>
      <w:pPr>
        <w:bidi/>
        <w:spacing w:after="120" w:line="360"/>
        <w:ind w:firstLine="360"/>
        <w:jc w:val="both"/>
      </w:pPr>
      <w:r>
        <w:rPr>
          <w:rFonts w:ascii="Times New Roman" w:cs="Times New Roman" w:eastAsia="Times New Roman" w:hAnsi="Times New Roman"/>
          <w:sz w:val="24"/>
          <w:szCs w:val="24"/>
          <w:rtl/>
        </w:rPr>
        <w:t xml:space="preserve">مسئله‌ی زن از پرمناقشه‌ترین موضوعات اندیشه‌ی دینی و اجتماعی در دو سده‌ی اخیر بوده است. ورود گسترده‌ی زنان به آموزش عالی و بازار کار، تحول فناوری‌های ارتباطی، شکل‌گیری فضای مجازی و دگرگونی الگوهای ازدواج و فرزندآوری، شرایطی ساخته که در آن زن مسلمان ناگزیر است همزمان با چند افق معنایی و چند نظام انتظار روبه‌رو شود: انتظارات دینی، سنتی، بازار، رسانه و دولت. در چنین وضعیتی، پاسخ‌های کلیشه‌ای و شعاری از هر دو سو، هم نسل جوان را قانع نمی‌کند و هم از ظرفیت‌های واقعی دین برای راهنمایی کنش زنان بهره نمی‌برد.</w:t>
      </w:r>
    </w:p>
    <w:p>
      <w:pPr>
        <w:bidi/>
        <w:spacing w:after="120" w:line="360"/>
        <w:ind w:firstLine="360"/>
        <w:jc w:val="both"/>
      </w:pPr>
      <w:r>
        <w:rPr>
          <w:rFonts w:ascii="Times New Roman" w:cs="Times New Roman" w:eastAsia="Times New Roman" w:hAnsi="Times New Roman"/>
          <w:sz w:val="24"/>
          <w:szCs w:val="24"/>
          <w:rtl/>
        </w:rPr>
        <w:t xml:space="preserve">ضرورت پرداختن به این موضوع از سه جهت است. نخست، ضرورت نظری: صورت‌بندی منسجم از «رسالت» زن بر پایه‌ی مبانی قرآنی که هم از تقلیل‌گرایی سنتی و هم از همسان‌انگاری مطلق دوری کند. دوم، ضرورت اجتماعی: نقش زنان در تربیت نسل، اقتصاد خانوار و تولید دانش، آنان را به یکی از مهم‌ترین عوامل توسعه‌ی اجتماعی در جوامع مسلمان تبدیل کرده است. سوم، ضرورت گفتمانی: تصویر زن مسلمان در رسانه‌های جهانی اغلب قالبی و تک‌بعدی است و بازنمایی دقیق‌تر آن، نیازمند روایت‌های علمی و درون‌دینی است.</w:t>
      </w:r>
    </w:p>
    <w:p>
      <w:pPr>
        <w:pStyle w:val="Heading2"/>
        <w:bidi/>
        <w:spacing w:after="120" w:before="240"/>
      </w:pPr>
      <w:r>
        <w:rPr>
          <w:rFonts w:ascii="Times New Roman" w:cs="Times New Roman" w:eastAsia="Times New Roman" w:hAnsi="Times New Roman"/>
          <w:b/>
          <w:bCs/>
          <w:sz w:val="25"/>
          <w:szCs w:val="25"/>
          <w:rtl/>
        </w:rPr>
        <w:t xml:space="preserve">۱.۲ بیان مسئله</w:t>
      </w:r>
    </w:p>
    <w:p>
      <w:pPr>
        <w:bidi/>
        <w:spacing w:after="120" w:line="360"/>
        <w:ind w:firstLine="360"/>
        <w:jc w:val="both"/>
      </w:pPr>
      <w:r>
        <w:rPr>
          <w:rFonts w:ascii="Times New Roman" w:cs="Times New Roman" w:eastAsia="Times New Roman" w:hAnsi="Times New Roman"/>
          <w:sz w:val="24"/>
          <w:szCs w:val="24"/>
          <w:rtl/>
        </w:rPr>
        <w:t xml:space="preserve">در برابر مسئله‌ی زن دو رویکرد افراطی دیده می‌شود. رویکرد نخست، زن را به نقش‌های سنتی و محدود تقلیل می‌دهد و ظرفیت‌های علمی و اجتماعی او را نادیده می‌گیرد. رویکرد دوم، الگوی «برابری همسان‌انگارانه» را معیار قرار می‌دهد و تفاوت‌های طبیعی و کارکردهای ویژه‌ی زن، از جمله مادری و نقش خانوادگی، را یا نادیده می‌گیرد یا مانع پیشرفت می‌شمارد. لیلا احمد (۱۹۹۲) و فاطمه مرنیسی (۱۹۹۱) نشان داده‌اند که بخش مهمی از محدودیت‌های تاریخی زنان در جوامع مسلمان بیش از آنکه ریشه در متون بنیادین داشته باشد، از ساختارهای اجتماعی و قرائت‌های تاریخی برآمده است. در سوی مقابل ابولغد (۲۰۱۳) هشدار می‌دهد که تصویر «زن مسلمان نیازمند نجات» نیز خود محصول گفتمانی بیرونی است که تجربه‌ی زیسته‌ی زنان را نادیده می‌گیرد.</w:t>
      </w:r>
    </w:p>
    <w:p>
      <w:pPr>
        <w:bidi/>
        <w:spacing w:after="120" w:line="360"/>
        <w:ind w:firstLine="360"/>
        <w:jc w:val="both"/>
      </w:pPr>
      <w:r>
        <w:rPr>
          <w:rFonts w:ascii="Times New Roman" w:cs="Times New Roman" w:eastAsia="Times New Roman" w:hAnsi="Times New Roman"/>
          <w:sz w:val="24"/>
          <w:szCs w:val="24"/>
          <w:rtl/>
        </w:rPr>
        <w:t xml:space="preserve">دیدگاه اسلامی که در آثار متفکرانی چون مطهری (۱۳۵۷) و جوادی آملی (۱۳۷۵) بیان شده، بر «تساوی در ارزش انسانی» و «تفاوت در نقش‌ها» استوار است. با این حال، نیاز به صورت‌بندی روزآمدی هست که هم با منابع اصیل دینی همخوان باشد و هم به پرسش‌ها و شرایط دنیای امروز، از جمله فضای مجازی، بازار کار جهانی و تحولات خانواده، پاسخ دهد. این پژوهش در پی چنین صورت‌بندی‌ای است.</w:t>
      </w:r>
    </w:p>
    <w:p>
      <w:pPr>
        <w:pStyle w:val="Heading2"/>
        <w:bidi/>
        <w:spacing w:after="120" w:before="240"/>
      </w:pPr>
      <w:r>
        <w:rPr>
          <w:rFonts w:ascii="Times New Roman" w:cs="Times New Roman" w:eastAsia="Times New Roman" w:hAnsi="Times New Roman"/>
          <w:b/>
          <w:bCs/>
          <w:sz w:val="25"/>
          <w:szCs w:val="25"/>
          <w:rtl/>
        </w:rPr>
        <w:t xml:space="preserve">۱.۳ اهداف پژوهش</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تبیین مبانی قرآنی و انسان‌شناختی جایگاه و رسالت زن؛</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استخراج الگوهای رفتاری از سیره‌ی بانوان نمونه‌ی اسلام و نمونه‌های تاریخی و معاصر؛</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طبقه‌بندی ابعاد رسالت زن مسلمان و ارائه‌ی مدل مفهومی؛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شناسایی چالش‌های عصر جدید و پیشنهاد راهبردهای عملی.</w:t>
      </w:r>
    </w:p>
    <w:p>
      <w:pPr>
        <w:pStyle w:val="Heading1"/>
        <w:bidi/>
        <w:spacing w:after="160" w:before="360"/>
      </w:pPr>
      <w:r>
        <w:rPr>
          <w:rFonts w:ascii="Times New Roman" w:cs="Times New Roman" w:eastAsia="Times New Roman" w:hAnsi="Times New Roman"/>
          <w:b/>
          <w:bCs/>
          <w:sz w:val="28"/>
          <w:szCs w:val="28"/>
          <w:rtl/>
        </w:rPr>
        <w:t xml:space="preserve">۲. تعریف مفاهیم، پرسش‌ها، روش و پیشینه</w:t>
      </w:r>
    </w:p>
    <w:p>
      <w:pPr>
        <w:pStyle w:val="Heading2"/>
        <w:bidi/>
        <w:spacing w:after="120" w:before="240"/>
      </w:pPr>
      <w:r>
        <w:rPr>
          <w:rFonts w:ascii="Times New Roman" w:cs="Times New Roman" w:eastAsia="Times New Roman" w:hAnsi="Times New Roman"/>
          <w:b/>
          <w:bCs/>
          <w:sz w:val="25"/>
          <w:szCs w:val="25"/>
          <w:rtl/>
        </w:rPr>
        <w:t xml:space="preserve">۲.۱ تعریف مفاهیم</w:t>
      </w:r>
    </w:p>
    <w:p>
      <w:pPr>
        <w:bidi/>
        <w:spacing w:after="120" w:line="360"/>
        <w:ind w:firstLine="360"/>
        <w:jc w:val="both"/>
      </w:pPr>
      <w:r>
        <w:rPr>
          <w:rFonts w:ascii="Times New Roman" w:cs="Times New Roman" w:eastAsia="Times New Roman" w:hAnsi="Times New Roman"/>
          <w:b/>
          <w:bCs/>
          <w:sz w:val="24"/>
          <w:szCs w:val="24"/>
          <w:rtl/>
        </w:rPr>
        <w:t xml:space="preserve">رسالت: </w:t>
      </w:r>
      <w:r>
        <w:rPr>
          <w:rFonts w:ascii="Times New Roman" w:cs="Times New Roman" w:eastAsia="Times New Roman" w:hAnsi="Times New Roman"/>
          <w:sz w:val="24"/>
          <w:szCs w:val="24"/>
          <w:rtl/>
        </w:rPr>
        <w:t xml:space="preserve">در این مقاله «رسالت» به معنای مأموریت و مسئولیتی آگاهانه است که از هویت و باورهای فرد برمی‌خیزد و فراتر از «تکلیف» حقوقی، افق آرمانی و معناداری برای کنش فرد فراهم می‌کند. تکلیف پرسشِ «چه باید کرد؟» را پاسخ می‌دهد و رسالت پرسشِ «برای چه و در چه افقی؟» را.</w:t>
      </w:r>
    </w:p>
    <w:p>
      <w:pPr>
        <w:bidi/>
        <w:spacing w:after="120" w:line="360"/>
        <w:ind w:firstLine="360"/>
        <w:jc w:val="both"/>
      </w:pPr>
      <w:r>
        <w:rPr>
          <w:rFonts w:ascii="Times New Roman" w:cs="Times New Roman" w:eastAsia="Times New Roman" w:hAnsi="Times New Roman"/>
          <w:b/>
          <w:bCs/>
          <w:sz w:val="24"/>
          <w:szCs w:val="24"/>
          <w:rtl/>
        </w:rPr>
        <w:t xml:space="preserve">زن مسلمان: </w:t>
      </w:r>
      <w:r>
        <w:rPr>
          <w:rFonts w:ascii="Times New Roman" w:cs="Times New Roman" w:eastAsia="Times New Roman" w:hAnsi="Times New Roman"/>
          <w:sz w:val="24"/>
          <w:szCs w:val="24"/>
          <w:rtl/>
        </w:rPr>
        <w:t xml:space="preserve">زنی که خود را به نظام اعتقادی و ارزشی اسلام متعهد می‌داند. این مفهوم به هیچ فرهنگ و جغرافیای خاصی محدود نیست و تنوع تجربه‌ها (شهری، روستایی، مهاجر، دانشگاهی و خانه‌دار) را شامل می‌شود. پژوهش‌های میدانی نشان می‌دهند تجربه‌ی دینداری زنان مسلمان یکسان نیست و نمی‌توان آن را در یک تصویر واحد خلاصه کرد (محمود، ۲۰۰۵).</w:t>
      </w:r>
    </w:p>
    <w:p>
      <w:pPr>
        <w:bidi/>
        <w:spacing w:after="120" w:line="360"/>
        <w:ind w:firstLine="360"/>
        <w:jc w:val="both"/>
      </w:pPr>
      <w:r>
        <w:rPr>
          <w:rFonts w:ascii="Times New Roman" w:cs="Times New Roman" w:eastAsia="Times New Roman" w:hAnsi="Times New Roman"/>
          <w:b/>
          <w:bCs/>
          <w:sz w:val="24"/>
          <w:szCs w:val="24"/>
          <w:rtl/>
        </w:rPr>
        <w:t xml:space="preserve">جهان معاصر: </w:t>
      </w:r>
      <w:r>
        <w:rPr>
          <w:rFonts w:ascii="Times New Roman" w:cs="Times New Roman" w:eastAsia="Times New Roman" w:hAnsi="Times New Roman"/>
          <w:sz w:val="24"/>
          <w:szCs w:val="24"/>
          <w:rtl/>
        </w:rPr>
        <w:t xml:space="preserve">جهانی که با چهار ویژگی تمایز می‌یابد: جهانی‌شدن اقتصاد و فرهنگ، انقلاب دیجیتال و رسانه‌های اجتماعی، دگرگونی نهادهای سنتی (به‌ویژه خانواده)، و تکثر منابع معنا و هویت.</w:t>
      </w:r>
    </w:p>
    <w:p>
      <w:pPr>
        <w:pStyle w:val="Heading2"/>
        <w:bidi/>
        <w:spacing w:after="120" w:before="240"/>
      </w:pPr>
      <w:r>
        <w:rPr>
          <w:rFonts w:ascii="Times New Roman" w:cs="Times New Roman" w:eastAsia="Times New Roman" w:hAnsi="Times New Roman"/>
          <w:b/>
          <w:bCs/>
          <w:sz w:val="25"/>
          <w:szCs w:val="25"/>
          <w:rtl/>
        </w:rPr>
        <w:t xml:space="preserve">۲.۲ پرسش‌های پژوهش</w:t>
      </w:r>
    </w:p>
    <w:p>
      <w:pPr>
        <w:bidi/>
        <w:spacing w:after="120" w:line="360"/>
        <w:jc w:val="both"/>
      </w:pPr>
      <w:r>
        <w:rPr>
          <w:rFonts w:ascii="Times New Roman" w:cs="Times New Roman" w:eastAsia="Times New Roman" w:hAnsi="Times New Roman"/>
          <w:sz w:val="24"/>
          <w:szCs w:val="24"/>
          <w:rtl/>
        </w:rPr>
        <w:t xml:space="preserve">پرسش اصلی: رسالت زن مسلمان در دنیای معاصر چیست؟ پرسش‌های فرعی عبارت‌اند از:</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مبانی دینی و انسان‌شناختی رسالت زن مسلمان کدام‌اند؟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سیره‌ی بانوان نمونه‌ی اسلام چه الگوهایی در اختیار می‌گذارد؟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رسالت زن مسلمان در چه ابعادی قابل تحلیل است و این ابعاد چه نسبتی با یکدیگر دارند؟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چه چالش‌هایی بر سر راه ایفای این رسالت وجود دارد و چه راهبردهایی برای آن می‌توان ارائه کرد؟</w:t>
      </w:r>
    </w:p>
    <w:p>
      <w:pPr>
        <w:pStyle w:val="Heading2"/>
        <w:bidi/>
        <w:spacing w:after="120" w:before="240"/>
      </w:pPr>
      <w:r>
        <w:rPr>
          <w:rFonts w:ascii="Times New Roman" w:cs="Times New Roman" w:eastAsia="Times New Roman" w:hAnsi="Times New Roman"/>
          <w:b/>
          <w:bCs/>
          <w:sz w:val="25"/>
          <w:szCs w:val="25"/>
          <w:rtl/>
        </w:rPr>
        <w:t xml:space="preserve">۲.۳ روش پژوهش</w:t>
      </w:r>
    </w:p>
    <w:p>
      <w:pPr>
        <w:bidi/>
        <w:spacing w:after="120" w:line="360"/>
        <w:ind w:firstLine="360"/>
        <w:jc w:val="both"/>
      </w:pPr>
      <w:r>
        <w:rPr>
          <w:rFonts w:ascii="Times New Roman" w:cs="Times New Roman" w:eastAsia="Times New Roman" w:hAnsi="Times New Roman"/>
          <w:sz w:val="24"/>
          <w:szCs w:val="24"/>
          <w:rtl/>
        </w:rPr>
        <w:t xml:space="preserve">این پژوهش از نوع نظری و با روش توصیفی ـ تحلیلی است. داده‌ها به شیوه‌ی کتابخانه‌ای از چهار دسته منبع گردآوری شده است: متون قرآنی و تفسیری، منابع حدیثی، گزارش‌های تاریخی درباره‌ی بانوان نمونه، و پژوهش‌های معاصر اسلامی و غربی. تحلیل داده‌ها به شیوه‌ی تحلیل محتوای کیفی انجام شده است: نخست آیات و روایات مرتبط شناسایی و بر اساس مضمون دسته‌بندی شد، سپس این مضامین با یافته‌های پژوهش‌های معاصر مقایسه و در قالب ابعاد رسالت سازمان‌دهی گردید. در ارجاع به متون دینی، میان «نص» و «برداشت تاریخی از نص» تفکیک شده است. ادعاهای این مقاله استدلالی و مبتنی بر متون است و داده‌ی میدانی یا آماری ارائه نمی‌شود.</w:t>
      </w:r>
    </w:p>
    <w:p>
      <w:pPr>
        <w:pStyle w:val="Heading2"/>
        <w:bidi/>
        <w:spacing w:after="120" w:before="240"/>
      </w:pPr>
      <w:r>
        <w:rPr>
          <w:rFonts w:ascii="Times New Roman" w:cs="Times New Roman" w:eastAsia="Times New Roman" w:hAnsi="Times New Roman"/>
          <w:b/>
          <w:bCs/>
          <w:sz w:val="25"/>
          <w:szCs w:val="25"/>
          <w:rtl/>
        </w:rPr>
        <w:t xml:space="preserve">۲.۴ پیشینه‌ی پژوهش</w:t>
      </w:r>
    </w:p>
    <w:p>
      <w:pPr>
        <w:bidi/>
        <w:spacing w:after="120" w:line="360"/>
        <w:ind w:firstLine="360"/>
        <w:jc w:val="both"/>
      </w:pPr>
      <w:r>
        <w:rPr>
          <w:rFonts w:ascii="Times New Roman" w:cs="Times New Roman" w:eastAsia="Times New Roman" w:hAnsi="Times New Roman"/>
          <w:sz w:val="24"/>
          <w:szCs w:val="24"/>
          <w:rtl/>
        </w:rPr>
        <w:t xml:space="preserve">پیشینه‌ی بحث را می‌توان در سه دسته جای داد. دسته‌ی نخست، آثار کلاسیک و معاصر اسلامی درباره‌ی حقوق و جایگاه زن‌اند. مطهری (۱۳۵۷) در «نظام حقوق زن در اسلام» با تفکیک «تشابه حقوق» از «تساوی ارزش» چارچوبی نظری ارائه می‌کند و در «مسئله‌ی حجاب» (۱۳۴۸) فلسفه‌ی پوشش را از منظر اخلاقی و اجتماعی تحلیل می‌نماید. جوادی آملی (۱۳۷۵) در «زن در آینه‌ی جلال و جمال» از منظر حکمت متعالیه به حقیقت انسانی زن و کمالات او می‌پردازد.</w:t>
      </w:r>
    </w:p>
    <w:p>
      <w:pPr>
        <w:bidi/>
        <w:spacing w:after="120" w:line="360"/>
        <w:ind w:firstLine="360"/>
        <w:jc w:val="both"/>
      </w:pPr>
      <w:r>
        <w:rPr>
          <w:rFonts w:ascii="Times New Roman" w:cs="Times New Roman" w:eastAsia="Times New Roman" w:hAnsi="Times New Roman"/>
          <w:sz w:val="24"/>
          <w:szCs w:val="24"/>
          <w:rtl/>
        </w:rPr>
        <w:t xml:space="preserve">دسته‌ی دوم، پژوهش‌های بازخوانی‌گرا هستند. ودود (۱۹۹۹) با قرائتی زن‌محور از قرآن می‌کوشد دلالت‌های برابری‌خواهانه‌ی متن را آشکار کند. بارلاس (۲۰۰۲) قرائت‌های مردسالارانه‌ی تاریخی را نقد و میان «قرآن» و «تفسیر مردانه از قرآن» تفکیک می‌کند. علی (۲۰۰۶) به اخلاق جنسی و روابط خانوادگی در فقه و کلام می‌پردازد. حیدالله (۲۰۱۴) از «لبه‌های فمینیستی قرآن» سخن می‌گوید و بدران (۲۰۰۹) در «فمینیسم در اسلام» تاریخ و همگرایی فمینیسم دینی و سکولار را بررسی می‌کند. اسپوزیتو و دلونگ‌باس (۲۰۰۱) نیز تحول حقوق خانواده را در کشورهای مسلمان تحلیل کرده‌اند.</w:t>
      </w:r>
    </w:p>
    <w:p>
      <w:pPr>
        <w:bidi/>
        <w:spacing w:after="120" w:line="360"/>
        <w:ind w:firstLine="360"/>
        <w:jc w:val="both"/>
      </w:pPr>
      <w:r>
        <w:rPr>
          <w:rFonts w:ascii="Times New Roman" w:cs="Times New Roman" w:eastAsia="Times New Roman" w:hAnsi="Times New Roman"/>
          <w:sz w:val="24"/>
          <w:szCs w:val="24"/>
          <w:rtl/>
        </w:rPr>
        <w:t xml:space="preserve">دسته‌ی سوم، پژوهش‌های انسان‌شناختی و اجتماعی‌اند. میرحسینی (۱۹۹۹) مناظره‌ی دینی ایران معاصر پیرامون جنسیت را بررسی می‌کند. محمود (۲۰۰۵) در بررسی جنبش مسجدی زنان در مصر نشان می‌دهد که تقوا برای بسیاری از زنان عرصه‌ی ساخت «خود» و کنش‌گری است. ابولغد (۲۰۱۳) تصویر قالبی «زن مسلمان نیازمند نجات» را نقد می‌کند.</w:t>
      </w:r>
    </w:p>
    <w:p>
      <w:pPr>
        <w:bidi/>
        <w:spacing w:after="120" w:line="360"/>
        <w:ind w:firstLine="360"/>
        <w:jc w:val="both"/>
      </w:pPr>
      <w:r>
        <w:rPr>
          <w:rFonts w:ascii="Times New Roman" w:cs="Times New Roman" w:eastAsia="Times New Roman" w:hAnsi="Times New Roman"/>
          <w:sz w:val="24"/>
          <w:szCs w:val="24"/>
          <w:rtl/>
        </w:rPr>
        <w:t xml:space="preserve">نقد و جمع‌بندی پیشینه: آثار دسته‌ی نخست غالباً بر مبانی نظری تمرکز دارند و کمتر به مسائل عملی عصر دیجیتال می‌پردازند. آثار دسته‌ی دوم و سوم بیشتر به نقد قرائت‌ها یا توصیف تجربه‌ها پرداخته‌اند و مفهومی منسجم از «رسالت» در اختیار نمی‌گذارند. وجه تمایز این مقاله، تمرکز بر «رسالت» به‌مثابه‌ی مفهومی چندبعدی، پیوند مبانی قرآنی با مسائل معاصر و ارائه‌ی مدل مفهومی و راهبرد عملی است.</w:t>
      </w:r>
    </w:p>
    <w:p>
      <w:pPr>
        <w:pStyle w:val="Heading1"/>
        <w:bidi/>
        <w:spacing w:after="160" w:before="360"/>
      </w:pPr>
      <w:r>
        <w:rPr>
          <w:rFonts w:ascii="Times New Roman" w:cs="Times New Roman" w:eastAsia="Times New Roman" w:hAnsi="Times New Roman"/>
          <w:b/>
          <w:bCs/>
          <w:sz w:val="28"/>
          <w:szCs w:val="28"/>
          <w:rtl/>
        </w:rPr>
        <w:t xml:space="preserve">۳. چارچوب نظری: مبانی قرآنی جایگاه زن</w:t>
      </w:r>
    </w:p>
    <w:p>
      <w:pPr>
        <w:pStyle w:val="Heading2"/>
        <w:bidi/>
        <w:spacing w:after="120" w:before="240"/>
      </w:pPr>
      <w:r>
        <w:rPr>
          <w:rFonts w:ascii="Times New Roman" w:cs="Times New Roman" w:eastAsia="Times New Roman" w:hAnsi="Times New Roman"/>
          <w:b/>
          <w:bCs/>
          <w:sz w:val="25"/>
          <w:szCs w:val="25"/>
          <w:rtl/>
        </w:rPr>
        <w:t xml:space="preserve">۳.۱ هویت مشترک انسانی</w:t>
      </w:r>
    </w:p>
    <w:p>
      <w:pPr>
        <w:bidi/>
        <w:spacing w:after="120" w:line="360"/>
        <w:ind w:firstLine="360"/>
        <w:jc w:val="both"/>
      </w:pPr>
      <w:r>
        <w:rPr>
          <w:rFonts w:ascii="Times New Roman" w:cs="Times New Roman" w:eastAsia="Times New Roman" w:hAnsi="Times New Roman"/>
          <w:sz w:val="24"/>
          <w:szCs w:val="24"/>
          <w:rtl/>
        </w:rPr>
        <w:t xml:space="preserve">قرآن کریم در آیه‌ی نخست سوره‌ی نساء آفرینش انسان‌ها را از «نفس واحده» می‌داند و در آیه‌ی ۱۳ سوره‌ی حجرات معیار برتری را «تقوا» می‌شمارد. بر این پایه، جنسیت معیار برتری انسانی نیست. علامه طباطبایی (۱۴۱۷ق) در تفسیر المیزان ذیل همین آیات، یکسانی حقیقت انسانی زن و مرد را تبیین می‌کند. قرآن در آیه‌ی ۱۹۵ سوره‌ی آل‌عمران نیز با تصریح می‌فرماید که عمل هیچ عمل‌کننده‌ای، از زن یا مرد، ضایع نمی‌شود و «بعضکم من بعض» است. این تعبیر بر همبستگی و هم‌سرنوشتی زن و مرد دلالت دارد. در سنت نبوی نیز عبارت «النساء شقائق الرجال» (منقول در سنن ابوداود و ترمذی) به همین معنا تعبیر شده است.</w:t>
      </w:r>
    </w:p>
    <w:p>
      <w:pPr>
        <w:pStyle w:val="Heading2"/>
        <w:bidi/>
        <w:spacing w:after="120" w:before="240"/>
      </w:pPr>
      <w:r>
        <w:rPr>
          <w:rFonts w:ascii="Times New Roman" w:cs="Times New Roman" w:eastAsia="Times New Roman" w:hAnsi="Times New Roman"/>
          <w:b/>
          <w:bCs/>
          <w:sz w:val="25"/>
          <w:szCs w:val="25"/>
          <w:rtl/>
        </w:rPr>
        <w:t xml:space="preserve">۳.۲ برابری در مسیر کمال</w:t>
      </w:r>
    </w:p>
    <w:p>
      <w:pPr>
        <w:bidi/>
        <w:spacing w:after="120" w:line="360"/>
        <w:ind w:firstLine="360"/>
        <w:jc w:val="both"/>
      </w:pPr>
      <w:r>
        <w:rPr>
          <w:rFonts w:ascii="Times New Roman" w:cs="Times New Roman" w:eastAsia="Times New Roman" w:hAnsi="Times New Roman"/>
          <w:sz w:val="24"/>
          <w:szCs w:val="24"/>
          <w:rtl/>
        </w:rPr>
        <w:t xml:space="preserve">در آیه‌ی ۳۵ سوره‌ی احزاب ده ویژگی کمال (اسلام، ایمان، قنوت، صدق، صبر، خشوع، صدقه، روزه، عفاف و ذکر) برای زنان و مردان به‌صورت برابر برشمرده شده و برای هر دو وعده‌ی مغفرت و اجر عظیم آمده است. آیه‌ی ۹۷ سوره‌ی نحل نیز هر نیکوکار، چه زن و چه مرد، را مستحق «حیات طیبه» می‌داند. قرآن برای مؤمنان، از جمله مردان، دو زن را به‌عنوان الگو معرفی می‌کند: همسر فرعون و مریم (تحریم/۱۱ و ۱۲). این امر نشان می‌دهد که الگوی کمال انسانی در قرآن، جنسیت‌زده نیست و زنان می‌توانند الگوی همگان باشند.</w:t>
      </w:r>
    </w:p>
    <w:p>
      <w:pPr>
        <w:pStyle w:val="Heading2"/>
        <w:bidi/>
        <w:spacing w:after="120" w:before="240"/>
      </w:pPr>
      <w:r>
        <w:rPr>
          <w:rFonts w:ascii="Times New Roman" w:cs="Times New Roman" w:eastAsia="Times New Roman" w:hAnsi="Times New Roman"/>
          <w:b/>
          <w:bCs/>
          <w:sz w:val="25"/>
          <w:szCs w:val="25"/>
          <w:rtl/>
        </w:rPr>
        <w:t xml:space="preserve">۳.۳ مسئولیت اجتماعی مشترک</w:t>
      </w:r>
    </w:p>
    <w:p>
      <w:pPr>
        <w:bidi/>
        <w:spacing w:after="120" w:line="360"/>
        <w:ind w:firstLine="360"/>
        <w:jc w:val="both"/>
      </w:pPr>
      <w:r>
        <w:rPr>
          <w:rFonts w:ascii="Times New Roman" w:cs="Times New Roman" w:eastAsia="Times New Roman" w:hAnsi="Times New Roman"/>
          <w:sz w:val="24"/>
          <w:szCs w:val="24"/>
          <w:rtl/>
        </w:rPr>
        <w:t xml:space="preserve">آیه‌ی ۷۱ سوره‌ی توبه مردان و زنان مؤمن را «اولیای یکدیگر» می‌خواند و امر به معروف و نهی از منکر، اقامه‌ی نماز و زکات و اطاعت از خدا و رسول را وظیفه‌ی مشترک آنان می‌داند. این آیه مبنایی قرآنی برای مشارکت مسئولانه‌ی زن در اصلاح جامعه است. شواهد قرآنی دیگری نیز بر حضور اجتماعی زنان دلالت دارد: بیعت زنان با پیامبر (ممتحنه/۱۲)، پیگیری حق خولة بنت ثعلبه نزد پیامبر که به نزول آیات آغازین سوره‌ی مجادله انجامید، مشورت‌پذیری و تدبیر ملکه‌ی سبأ در امور حکومت (نمل/۲۳ تا ۴۴) و کار دختران شعیب در سقایی و چوپانی (قصص/۲۳ تا ۲۸).</w:t>
      </w:r>
    </w:p>
    <w:p>
      <w:pPr>
        <w:pStyle w:val="Heading2"/>
        <w:bidi/>
        <w:spacing w:after="120" w:before="240"/>
      </w:pPr>
      <w:r>
        <w:rPr>
          <w:rFonts w:ascii="Times New Roman" w:cs="Times New Roman" w:eastAsia="Times New Roman" w:hAnsi="Times New Roman"/>
          <w:b/>
          <w:bCs/>
          <w:sz w:val="25"/>
          <w:szCs w:val="25"/>
          <w:rtl/>
        </w:rPr>
        <w:t xml:space="preserve">۳.۴ تفاوت نقش و تساوی ارزش</w:t>
      </w:r>
    </w:p>
    <w:p>
      <w:pPr>
        <w:bidi/>
        <w:spacing w:after="120" w:line="360"/>
        <w:ind w:firstLine="360"/>
        <w:jc w:val="both"/>
      </w:pPr>
      <w:r>
        <w:rPr>
          <w:rFonts w:ascii="Times New Roman" w:cs="Times New Roman" w:eastAsia="Times New Roman" w:hAnsi="Times New Roman"/>
          <w:sz w:val="24"/>
          <w:szCs w:val="24"/>
          <w:rtl/>
        </w:rPr>
        <w:t xml:space="preserve">مطهری (۱۳۵۷) میان «تشابه حقوق» و «تساوی ارزش انسانی» تفکیک می‌کند. به باور او تفاوت‌های زیستی و روانی، مبنای تقسیم نقش‌ها و تکمیل متقابل است و نه مبنای تبعیض. آیه‌ی ۳۲ سوره‌ی نساء نیز برای مردان و زنان «نصیب» مستقلی از کسب‌شان قائل است و آیه‌ی ۲۲۸ بقره، حقوق متقابل را بر اساس «معروف» تعریف می‌کند. این تفکیک، کلید فهم رسالت زن در نگاه اسلامی است. با این حال ودود (۱۹۹۹) و بارلاس (۲۰۰۲) هشدار می‌دهند که برخی تفسیرها تفاوت نقش را به سلسله‌مراتب ارزشی تبدیل کرده‌اند. بنابراین بازخوانی مستمر متون و تمییز میان «نص» و «برداشت تاریخی» ضرورت دارد.</w:t>
      </w:r>
    </w:p>
    <w:p>
      <w:pPr>
        <w:pStyle w:val="Heading2"/>
        <w:bidi/>
        <w:spacing w:after="120" w:before="240"/>
      </w:pPr>
      <w:r>
        <w:rPr>
          <w:rFonts w:ascii="Times New Roman" w:cs="Times New Roman" w:eastAsia="Times New Roman" w:hAnsi="Times New Roman"/>
          <w:b/>
          <w:bCs/>
          <w:sz w:val="25"/>
          <w:szCs w:val="25"/>
          <w:rtl/>
        </w:rPr>
        <w:t xml:space="preserve">۳.۵ پرسش‌های بنیادین و رویکرد تحلیلی</w:t>
      </w:r>
    </w:p>
    <w:p>
      <w:pPr>
        <w:bidi/>
        <w:spacing w:after="120" w:line="360"/>
        <w:ind w:firstLine="360"/>
        <w:jc w:val="both"/>
      </w:pPr>
      <w:r>
        <w:rPr>
          <w:rFonts w:ascii="Times New Roman" w:cs="Times New Roman" w:eastAsia="Times New Roman" w:hAnsi="Times New Roman"/>
          <w:sz w:val="24"/>
          <w:szCs w:val="24"/>
          <w:rtl/>
        </w:rPr>
        <w:t xml:space="preserve">بحث رسالت زن بدون پرداختن به چند پرسش پرتکرار ناقص می‌ماند. در اینجا به‌اختصار رویکرد تحلیلی این مقاله بیان می‌شود: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قوامیت (نساء/۳۴): مطهری (۱۳۵۷) آن را به مسئولیت مدیریتی و حمایتی مرد در چارچوب خانواده معنا می‌کند و نه برتری انسانی یا حق قیمومت مطلق. در مقابل بارلاس (۲۰۰۲) و ودود (۱۹۹۹) بر ضرورت بازخوانی این آیه با توجه به قید «بما أنفقوا» و شرایط تاریخی تأکید می‌کنند. وجه مشترک این دو قرائت نفی استبداد خانوادگی است.</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ارث و شهادت: در فقه کلاسیک سهم ارث در برخی موارد متفاوت است و در مقابل نفقه و مهریه بر عهده‌ی مرد است. مدافعان این نظام، آن را بر اساس «تعادل حقوق و تکالیف» توجیه می‌کنند و منتقدان بر تغییر ساختار اقتصادی خانواده و لزوم بازنگری تأکید دارند (اسپوزیتو و دلونگ‌باس، ۲۰۰۱). این مقاله به جای داوری نهایی، بر ضرورت گفت‌وگوی علمی و شفاف و پرهیز از پاسخ‌های شعاری تأکید می‌کند.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حجاب و عفاف: آیات ۳۰ و ۳۱ سوره‌ی نور و ۵۹ احزاب بنیان این بحث‌اند. مطهری (۱۳۴۸) فلسفه‌ی پوشش را حفظ آرامش روانی و صیانت از کانون خانواده و شخصیت زن می‌داند. محمود (۲۰۰۵) نشان می‌دهد برای بسیاری از زنان، پوشش بخشی از ساخت «خود» اخلاقی است. در عین حال، اجبار یا تحمیل ظاهری بدون آگاهی و اقناع، با روح اخلاق دینی ناسازگار است و اثر تربیتی ندارد.</w:t>
      </w:r>
    </w:p>
    <w:p>
      <w:pPr>
        <w:pStyle w:val="Heading1"/>
        <w:bidi/>
        <w:spacing w:after="160" w:before="360"/>
      </w:pPr>
      <w:r>
        <w:rPr>
          <w:rFonts w:ascii="Times New Roman" w:cs="Times New Roman" w:eastAsia="Times New Roman" w:hAnsi="Times New Roman"/>
          <w:b/>
          <w:bCs/>
          <w:sz w:val="28"/>
          <w:szCs w:val="28"/>
          <w:rtl/>
        </w:rPr>
        <w:t xml:space="preserve">۴. الگوهای تاریخی: سیره‌ی بانوان نمونه</w:t>
      </w:r>
    </w:p>
    <w:p>
      <w:pPr>
        <w:bidi/>
        <w:spacing w:after="120" w:line="360"/>
        <w:ind w:firstLine="360"/>
        <w:jc w:val="both"/>
      </w:pPr>
      <w:r>
        <w:rPr>
          <w:rFonts w:ascii="Times New Roman" w:cs="Times New Roman" w:eastAsia="Times New Roman" w:hAnsi="Times New Roman"/>
          <w:sz w:val="24"/>
          <w:szCs w:val="24"/>
          <w:rtl/>
        </w:rPr>
        <w:t xml:space="preserve">تاریخ اسلام نمونه‌هایی از حضور فعال زنان در عرصه‌های گوناگون را ثبت کرده است. این نمونه‌ها را می‌توان در چهار دسته مرور کرد.</w:t>
      </w:r>
    </w:p>
    <w:p>
      <w:pPr>
        <w:pStyle w:val="Heading2"/>
        <w:bidi/>
        <w:spacing w:after="120" w:before="240"/>
      </w:pPr>
      <w:r>
        <w:rPr>
          <w:rFonts w:ascii="Times New Roman" w:cs="Times New Roman" w:eastAsia="Times New Roman" w:hAnsi="Times New Roman"/>
          <w:b/>
          <w:bCs/>
          <w:sz w:val="25"/>
          <w:szCs w:val="25"/>
          <w:rtl/>
        </w:rPr>
        <w:t xml:space="preserve">۴.۱ الگوهای معنوی و خانوادگی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حضرت خدیجه (س): بانوی بازرگان، حامی مالی و معنوی پیامبر (ص) و نخستین مؤمن به رسالت ایشان. او نماد استقلال اقتصادی و ایمان پایدار است.</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حضرت فاطمه‌ی زهرا (س): الگوی همسری و مادری آگاهانه و در عین حال دفاع از حق در صحنه‌ی اجتماعی ـ سیاسی (خطبه‌ی فدکیه).</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حضرت مریم (س) و آسیه: الگوهای قرآنی ایمان و پایداری که قرآن آنان را الگوی همه‌ی مؤمنان می‌خواند (تحریم/۱۱ و ۱۲).</w:t>
      </w:r>
    </w:p>
    <w:p>
      <w:pPr>
        <w:pStyle w:val="Heading2"/>
        <w:bidi/>
        <w:spacing w:after="120" w:before="240"/>
      </w:pPr>
      <w:r>
        <w:rPr>
          <w:rFonts w:ascii="Times New Roman" w:cs="Times New Roman" w:eastAsia="Times New Roman" w:hAnsi="Times New Roman"/>
          <w:b/>
          <w:bCs/>
          <w:sz w:val="25"/>
          <w:szCs w:val="25"/>
          <w:rtl/>
        </w:rPr>
        <w:t xml:space="preserve">۴.۲ الگوهای اجتماعی و سیاسی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حضرت زینب (س): نماد روشنگری، خطابه‌گری و پایداری پس از واقعه‌ی کربلا. او رسالت «پیام‌رسانی» قیام را بر عهده گرفت.</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ام‌سلمه: بنا بر گزارش‌های سیره، در جریان صلح حدیبیه با مشورت خردمندانه، گره‌ای را از کار گشود. این گزارش نمونه‌ای از مشورت‌پذیری پیامبر (ص) از زنان است.</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شفاء بنت عبدالله: بنا بر برخی گزارش‌ها، از زنان باسواد صدر اسلام بود و در دوره‌ی خلفا مسئولیت‌هایی در نظارت بر امور بازار داشت. اعتبار تاریخی جزئیات این گزارش‌ها محل بحث پژوهشگران است و در اینجا به‌عنوان نمونه‌ی روایت رایج یاد می‌شود.</w:t>
      </w:r>
    </w:p>
    <w:p>
      <w:pPr>
        <w:pStyle w:val="Heading2"/>
        <w:bidi/>
        <w:spacing w:after="120" w:before="240"/>
      </w:pPr>
      <w:r>
        <w:rPr>
          <w:rFonts w:ascii="Times New Roman" w:cs="Times New Roman" w:eastAsia="Times New Roman" w:hAnsi="Times New Roman"/>
          <w:b/>
          <w:bCs/>
          <w:sz w:val="25"/>
          <w:szCs w:val="25"/>
          <w:rtl/>
        </w:rPr>
        <w:t xml:space="preserve">۴.۳ الگوهای علمی و فرهنگی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فاطمه‌ی فِهری: بنا بر روایت‌های تاریخی، بنیان‌گذار مسجد و مدرسه‌ی القرویین فاس در سده‌ی سوم هجری که بعدها به یکی از کهن‌ترین مراکز آموزشی جهان اسلام تبدیل شد.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زنان محدّث و راوی: در سده‌های نخستین اسلامی، زنانی در نقل حدیث و انتقال میراث علمی نقش داشتند و بسیاری از عالمان از آنان بهره بردند.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نفیسه‌ی بنت حسن: بانوی عالم و زاهد سده‌ی دوم هجری در مصر که به مرجعیت معنوی و علمی شهرت یافت.</w:t>
      </w:r>
    </w:p>
    <w:p>
      <w:pPr>
        <w:pStyle w:val="Heading2"/>
        <w:bidi/>
        <w:spacing w:after="120" w:before="240"/>
      </w:pPr>
      <w:r>
        <w:rPr>
          <w:rFonts w:ascii="Times New Roman" w:cs="Times New Roman" w:eastAsia="Times New Roman" w:hAnsi="Times New Roman"/>
          <w:b/>
          <w:bCs/>
          <w:sz w:val="25"/>
          <w:szCs w:val="25"/>
          <w:rtl/>
        </w:rPr>
        <w:t xml:space="preserve">۴.۴ نمونه‌های معاصر</w:t>
      </w:r>
    </w:p>
    <w:p>
      <w:pPr>
        <w:bidi/>
        <w:spacing w:after="120" w:line="360"/>
        <w:ind w:firstLine="360"/>
        <w:jc w:val="both"/>
      </w:pPr>
      <w:r>
        <w:rPr>
          <w:rFonts w:ascii="Times New Roman" w:cs="Times New Roman" w:eastAsia="Times New Roman" w:hAnsi="Times New Roman"/>
          <w:sz w:val="24"/>
          <w:szCs w:val="24"/>
          <w:rtl/>
        </w:rPr>
        <w:t xml:space="preserve">در دوران معاصر نیز زنان مسلمان در عرصه‌های علمی و اجتماعی درخشیده‌اند. نمونه‌هایی مانند مریم میرزاخانی (نخستین زن برنده‌ی مدال فیلدز، ۲۰۱۴)، شیرین عبادی (جایزه‌ی صلح نوبل، ۲۰۰۳) و توکل کرمان (جایزه‌ی صلح نوبل، ۲۰۱۱) نشان می‌دهد که زنان مسلمان در عرصه‌ی علم، حقوق و فعالیت مدنی سهم برجسته دارند. یادکرد این نمونه‌ها به معنای تأیید همه‌ی مواضع آنان نیست و صرفاً بیانگر ظرفیت حضور زنان است.</w:t>
      </w:r>
    </w:p>
    <w:p>
      <w:pPr>
        <w:bidi/>
        <w:spacing w:after="120" w:line="360"/>
        <w:ind w:firstLine="360"/>
        <w:jc w:val="both"/>
      </w:pPr>
      <w:r>
        <w:rPr>
          <w:rFonts w:ascii="Times New Roman" w:cs="Times New Roman" w:eastAsia="Times New Roman" w:hAnsi="Times New Roman"/>
          <w:sz w:val="24"/>
          <w:szCs w:val="24"/>
          <w:rtl/>
        </w:rPr>
        <w:t xml:space="preserve">تحلیل: این الگوها نشان می‌دهد که حضور زنان در اقتصاد، علم، سیاست و تربیت در سنت اسلامی سابقه دارد. محدودیت‌های بعدی را باید با توجه به شرایط تاریخی و فرهنگی تحلیل کرد (احمد، ۱۹۹۲؛ مرنیسی، ۱۹۹۱). از این منظر، الگوهای تاریخی نه «نسخه‌ی تکرارشدنی»، بلکه «الهام‌بخش اصولی» برای ایفای رسالت در شرایط جدیدند.</w:t>
      </w:r>
    </w:p>
    <w:p>
      <w:pPr>
        <w:pStyle w:val="Heading1"/>
        <w:bidi/>
        <w:spacing w:after="160" w:before="360"/>
      </w:pPr>
      <w:r>
        <w:rPr>
          <w:rFonts w:ascii="Times New Roman" w:cs="Times New Roman" w:eastAsia="Times New Roman" w:hAnsi="Times New Roman"/>
          <w:b/>
          <w:bCs/>
          <w:sz w:val="28"/>
          <w:szCs w:val="28"/>
          <w:rtl/>
        </w:rPr>
        <w:t xml:space="preserve">۵. ابعاد رسالت زن مسلمان در جهان معاصر</w:t>
      </w:r>
    </w:p>
    <w:p>
      <w:pPr>
        <w:bidi/>
        <w:spacing w:after="120" w:line="360"/>
        <w:ind w:firstLine="360"/>
        <w:jc w:val="both"/>
      </w:pPr>
      <w:r>
        <w:rPr>
          <w:rFonts w:ascii="Times New Roman" w:cs="Times New Roman" w:eastAsia="Times New Roman" w:hAnsi="Times New Roman"/>
          <w:sz w:val="24"/>
          <w:szCs w:val="24"/>
          <w:rtl/>
        </w:rPr>
        <w:t xml:space="preserve">بر پایه‌ی مبانی و الگوهای پیش‌گفته، رسالت زن مسلمان در پنج بُعد قابل تحلیل است. این ابعاد از یکدیگر جدا نیستند و بُعد معنوی به‌منزله‌ی هسته‌ی هویتی، بنیان چهار بُعد دیگر است. جدول ۱ مدل مفهومی پیشنهادی را خلاصه می‌کند.</w:t>
      </w:r>
    </w:p>
    <w:p>
      <w:pPr>
        <w:keepNext/>
        <w:bidi/>
        <w:spacing w:after="80" w:before="160"/>
        <w:jc w:val="center"/>
      </w:pPr>
      <w:r>
        <w:rPr>
          <w:rFonts w:ascii="Times New Roman" w:cs="Times New Roman" w:eastAsia="Times New Roman" w:hAnsi="Times New Roman"/>
          <w:b/>
          <w:bCs/>
          <w:sz w:val="22"/>
          <w:szCs w:val="22"/>
          <w:rtl/>
        </w:rPr>
        <w:t xml:space="preserve">جدول ۱. مدل مفهومی ابعاد رسالت زن مسلمان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426"/>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بُعد</w:t>
            </w:r>
          </w:p>
        </w:tc>
        <w:tc>
          <w:tcPr>
            <w:tcW w:type="dxa" w:w="24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هدف</w:t>
            </w:r>
          </w:p>
        </w:tc>
        <w:tc>
          <w:tcPr>
            <w:tcW w:type="dxa" w:w="25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کنش‌های نمونه</w:t>
            </w:r>
          </w:p>
        </w:tc>
        <w:tc>
          <w:tcPr>
            <w:tcW w:type="dxa" w:w="2426"/>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پیوند با مبانی</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معنوی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هویت‌یابی و تزکیه</w:t>
            </w:r>
          </w:p>
        </w:tc>
        <w:tc>
          <w:tcPr>
            <w:tcW w:type="dxa" w:w="25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عبادت، تدبر در قرآن، ذکر، عفاف آگاهانه</w:t>
            </w:r>
          </w:p>
        </w:tc>
        <w:tc>
          <w:tcPr>
            <w:tcW w:type="dxa" w:w="24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احزاب/۳۵؛ نحل/۹۷</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خانوادگی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ساختن کانون مودت و تربیت نسل</w:t>
            </w:r>
          </w:p>
        </w:tc>
        <w:tc>
          <w:tcPr>
            <w:tcW w:type="dxa" w:w="25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همسری مشارکتی، مادری آگاهانه</w:t>
            </w:r>
          </w:p>
        </w:tc>
        <w:tc>
          <w:tcPr>
            <w:tcW w:type="dxa" w:w="24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روم/۲۱؛ بقره/۱۸۷</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علمی ـ فرهنگی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تولید و انتقال دانش</w:t>
            </w:r>
          </w:p>
        </w:tc>
        <w:tc>
          <w:tcPr>
            <w:tcW w:type="dxa" w:w="25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تحصیل تخصصی، پژوهش دینی، تولید محتوا</w:t>
            </w:r>
          </w:p>
        </w:tc>
        <w:tc>
          <w:tcPr>
            <w:tcW w:type="dxa" w:w="24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اقرأ؛ حدیث طلب علم</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اجتماعی ـ اقتصادی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خدمت و مشارکت در توسعه</w:t>
            </w:r>
          </w:p>
        </w:tc>
        <w:tc>
          <w:tcPr>
            <w:tcW w:type="dxa" w:w="25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اشتغال، کارآفرینی، خیریه، مدیریت</w:t>
            </w:r>
          </w:p>
        </w:tc>
        <w:tc>
          <w:tcPr>
            <w:tcW w:type="dxa" w:w="24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توبه/۷۱؛ سیره‌ی خدیجه</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رسانه‌ای ـ گفتمانی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روایت واقعی و دفاع از هویت</w:t>
            </w:r>
          </w:p>
        </w:tc>
        <w:tc>
          <w:tcPr>
            <w:tcW w:type="dxa" w:w="25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تولید محتوای هنری و آموزشی، گفت‌وگوی بین‌فرهنگی</w:t>
            </w:r>
          </w:p>
        </w:tc>
        <w:tc>
          <w:tcPr>
            <w:tcW w:type="dxa" w:w="24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مواجهه‌ی گفتمانی عصر</w:t>
            </w:r>
          </w:p>
        </w:tc>
      </w:tr>
    </w:tbl>
    <w:p>
      <w:pPr>
        <w:bidi/>
        <w:spacing w:after="160"/>
      </w:pPr>
      <w:r>
        <w:rPr>
          <w:rFonts w:ascii="Times New Roman" w:cs="Times New Roman" w:eastAsia="Times New Roman" w:hAnsi="Times New Roman"/>
          <w:i/>
          <w:iCs/>
          <w:sz w:val="20"/>
          <w:szCs w:val="20"/>
          <w:rtl/>
        </w:rPr>
        <w:t xml:space="preserve">منبع: تحلیل نویسنده</w:t>
      </w:r>
    </w:p>
    <w:p>
      <w:pPr>
        <w:pStyle w:val="Heading2"/>
        <w:bidi/>
        <w:spacing w:after="120" w:before="240"/>
      </w:pPr>
      <w:r>
        <w:rPr>
          <w:rFonts w:ascii="Times New Roman" w:cs="Times New Roman" w:eastAsia="Times New Roman" w:hAnsi="Times New Roman"/>
          <w:b/>
          <w:bCs/>
          <w:sz w:val="25"/>
          <w:szCs w:val="25"/>
          <w:rtl/>
        </w:rPr>
        <w:t xml:space="preserve">۵.۱ بُعد معنوی: بندگی، تزکیه و هویت</w:t>
      </w:r>
    </w:p>
    <w:p>
      <w:pPr>
        <w:bidi/>
        <w:spacing w:after="120" w:line="360"/>
        <w:ind w:firstLine="360"/>
        <w:jc w:val="both"/>
      </w:pPr>
      <w:r>
        <w:rPr>
          <w:rFonts w:ascii="Times New Roman" w:cs="Times New Roman" w:eastAsia="Times New Roman" w:hAnsi="Times New Roman"/>
          <w:sz w:val="24"/>
          <w:szCs w:val="24"/>
          <w:rtl/>
        </w:rPr>
        <w:t xml:space="preserve">هر رسالتی بر هویت استوار است و هویت بنیادین زن مسلمان «بندگی خداوند» است. در جهانی که با مصرف‌گرایی و تکثر ارزش‌ها شناخته می‌شود، پیوند با خدا از راه نماز، قرآن و ذکر، به شخصیت او انسجام و معنا می‌بخشد و از بی‌هویتی و فرسودگی روانی مصون می‌دارد. مطالعات انسان‌شناختی نشان می‌دهد که بسیاری از زنان مسلمان، تقوا و عمل دینی را عرصه‌ی کنش‌گری فعال و ساختن «خود» می‌دانند و نه صرفاً تبعیت منفعلانه (محمود، ۲۰۰۵).</w:t>
      </w:r>
    </w:p>
    <w:p>
      <w:pPr>
        <w:bidi/>
        <w:spacing w:after="120" w:line="360"/>
        <w:ind w:firstLine="360"/>
        <w:jc w:val="both"/>
      </w:pPr>
      <w:r>
        <w:rPr>
          <w:rFonts w:ascii="Times New Roman" w:cs="Times New Roman" w:eastAsia="Times New Roman" w:hAnsi="Times New Roman"/>
          <w:sz w:val="24"/>
          <w:szCs w:val="24"/>
          <w:rtl/>
        </w:rPr>
        <w:t xml:space="preserve">حجاب و عفاف در این چارچوب تعریف می‌شود. اگر این دو با آگاهی و انتخاب همراه باشند، می‌توانند نماد هویت و مصونیت شخصیت باشند (مطهری، ۱۳۴۸). عفاف تنها پوشش ظاهری نیست، بلکه شامل رفتار، گفتار و نگاه نیز می‌شود و برای زن و مرد هر دو توصیه شده است (نور/۳۰ و ۳۱). تبیین فلسفه‌ی آن برای نسل جوان با زبانی منطقی، محترمانه و بدون تحقیر مخاطب، از ضرورت‌های امروز است. فراتر از آن، «تزکیه‌ی نفس» شامل رشد عقلانی، اخلاقی و عاطفی نیز هست: مهارت‌هایی چون مدیریت هیجان، صبر فعال و معنابخشی به رنج، بخشی از میراث تربیتی اسلام‌اند که در دنیای پراسترس امروز اهمیت دوچندان دارند.</w:t>
      </w:r>
    </w:p>
    <w:p>
      <w:pPr>
        <w:pStyle w:val="Heading2"/>
        <w:bidi/>
        <w:spacing w:after="120" w:before="240"/>
      </w:pPr>
      <w:r>
        <w:rPr>
          <w:rFonts w:ascii="Times New Roman" w:cs="Times New Roman" w:eastAsia="Times New Roman" w:hAnsi="Times New Roman"/>
          <w:b/>
          <w:bCs/>
          <w:sz w:val="25"/>
          <w:szCs w:val="25"/>
          <w:rtl/>
        </w:rPr>
        <w:t xml:space="preserve">۵.۲ بُعد خانوادگی: همسری و مادری آگاهانه</w:t>
      </w:r>
    </w:p>
    <w:p>
      <w:pPr>
        <w:bidi/>
        <w:spacing w:after="120" w:line="360"/>
        <w:ind w:firstLine="360"/>
        <w:jc w:val="both"/>
      </w:pPr>
      <w:r>
        <w:rPr>
          <w:rFonts w:ascii="Times New Roman" w:cs="Times New Roman" w:eastAsia="Times New Roman" w:hAnsi="Times New Roman"/>
          <w:sz w:val="24"/>
          <w:szCs w:val="24"/>
          <w:rtl/>
        </w:rPr>
        <w:t xml:space="preserve">خانواده در منظومه‌ی اسلامی نهادی محوری است. قرآن بنیان آن را بر «مودت و رحمت» (روم/۲۱) و «لباس یکدیگر بودن» (بقره/۱۸۷) می‌نهد و به «معاشرت به معروف» (نساء/۱۹) توصیه می‌کند. این تعابیر تصویری از شراکت عاطفی و معنوی ارائه می‌دهد. در سنت نبوی نیز عبارت «خیرکم خیرکم لأهله» (منقول در سنن ترمذی) معیار خوبی را رفتار با خانواده می‌داند.</w:t>
      </w:r>
    </w:p>
    <w:p>
      <w:pPr>
        <w:bidi/>
        <w:spacing w:after="120" w:line="360"/>
        <w:ind w:firstLine="360"/>
        <w:jc w:val="both"/>
      </w:pPr>
      <w:r>
        <w:rPr>
          <w:rFonts w:ascii="Times New Roman" w:cs="Times New Roman" w:eastAsia="Times New Roman" w:hAnsi="Times New Roman"/>
          <w:sz w:val="24"/>
          <w:szCs w:val="24"/>
          <w:rtl/>
        </w:rPr>
        <w:t xml:space="preserve">در نقش مادری، مادر نخستین مدرسه‌ی کودک است و مهم‌ترین عوامل شکل‌گیری شخصیت او را فراهم می‌کند: امنیت عاطفی، تربیت دینی و اخلاقی، و آموزش مهارت‌های زندگی. مادر مسلمان امروز افزون بر این‌ها به «سواد رسانه‌ای» و آگاهی روان‌شناختی نیاز دارد تا فرزند را در برابر هجوم محتوای رسانه‌ای و فشار هم‌سالان یاری کند. در نقش همسری، گفت‌وگو، تقسیم عادلانه‌ی مسئولیت‌ها، مشورت (بقره/۲۳۳) و احترام متقابل ارکان خانواده‌ی پایدارند.</w:t>
      </w:r>
    </w:p>
    <w:p>
      <w:pPr>
        <w:bidi/>
        <w:spacing w:after="120" w:line="360"/>
        <w:ind w:firstLine="360"/>
        <w:jc w:val="both"/>
      </w:pPr>
      <w:r>
        <w:rPr>
          <w:rFonts w:ascii="Times New Roman" w:cs="Times New Roman" w:eastAsia="Times New Roman" w:hAnsi="Times New Roman"/>
          <w:sz w:val="24"/>
          <w:szCs w:val="24"/>
          <w:rtl/>
        </w:rPr>
        <w:t xml:space="preserve">نقد نگاه تقلیل‌گرایانه: نقش خانوادگی زن نباید مانع فعالیت اجتماعی او شود و فعالیت اجتماعی نیز نباید به بهای فرسایش کانون خانواده تمام شود. دستیابی به این توازن مستلزم مشارکت همسر، حمایت خانواده‌ی گسترده و سیاست‌های حمایتی (مانند مرخصی و ساعت کار انعطاف‌پذیر) است. بنابراین رسالت خانوادگی، «مسئولیت مشترک زن و مرد» است و نه بار یک‌جانبه‌ی زن.</w:t>
      </w:r>
    </w:p>
    <w:p>
      <w:pPr>
        <w:pStyle w:val="Heading2"/>
        <w:bidi/>
        <w:spacing w:after="120" w:before="240"/>
      </w:pPr>
      <w:r>
        <w:rPr>
          <w:rFonts w:ascii="Times New Roman" w:cs="Times New Roman" w:eastAsia="Times New Roman" w:hAnsi="Times New Roman"/>
          <w:b/>
          <w:bCs/>
          <w:sz w:val="25"/>
          <w:szCs w:val="25"/>
          <w:rtl/>
        </w:rPr>
        <w:t xml:space="preserve">۵.۳ بُعد علمی ـ فرهنگی</w:t>
      </w:r>
    </w:p>
    <w:p>
      <w:pPr>
        <w:bidi/>
        <w:spacing w:after="120" w:line="360"/>
        <w:ind w:firstLine="360"/>
        <w:jc w:val="both"/>
      </w:pPr>
      <w:r>
        <w:rPr>
          <w:rFonts w:ascii="Times New Roman" w:cs="Times New Roman" w:eastAsia="Times New Roman" w:hAnsi="Times New Roman"/>
          <w:sz w:val="24"/>
          <w:szCs w:val="24"/>
          <w:rtl/>
        </w:rPr>
        <w:t xml:space="preserve">نخستین آیه‌ی نازل‌شده «اقرأ» است و حدیث «طلب العلم فریضة علی کل مسلم» (کلینی، ۱۴۰۷ق، ج۱) دانش‌اندوزی را وظیفه‌ی همگانی می‌داند. بر این اساس رسالت علمی زن مسلمان سه سطح دارد. سطح نخست، تحصیل و تخصص در رشته‌هایی مانند پزشکی، مهندسی، حقوق، علوم انسانی و فناوری است. سطح دوم، تولید و انتقال دانش از راه پژوهش، تدریس و تولید محتوا. سطح سوم، مشارکت در پژوهش‌های دینی و اجتهادی، به‌ویژه در موضوعات مرتبط با زنان و خانواده.</w:t>
      </w:r>
    </w:p>
    <w:p>
      <w:pPr>
        <w:bidi/>
        <w:spacing w:after="120" w:line="360"/>
        <w:ind w:firstLine="360"/>
        <w:jc w:val="both"/>
      </w:pPr>
      <w:r>
        <w:rPr>
          <w:rFonts w:ascii="Times New Roman" w:cs="Times New Roman" w:eastAsia="Times New Roman" w:hAnsi="Times New Roman"/>
          <w:sz w:val="24"/>
          <w:szCs w:val="24"/>
          <w:rtl/>
        </w:rPr>
        <w:t xml:space="preserve">حضور زنان پژوهشگر در تفسیر و فقه می‌تواند بسیاری از مسائل ویژه‌ی زنان را با دقت بیشتری روشن کند؛ چرا که تجربه‌ی زیسته‌ی زنان بخشی از «موضوع‌شناسی» احکام است و بدون آن، فتوا و تفسیر با خطای موضوع‌شناختی روبه‌رو می‌شود (میرحسینی، ۱۹۹۹؛ بدران، ۲۰۰۹). همچنین در عصر دیجیتال، «سواد دیجیتال» و توانایی مواجهه‌ی انتقادی با اطلاعات، بخشی از رسالت علمی است. نمونه‌ی مریم میرزاخانی در ریاضیات نشان می‌دهد که تعهد به هویت ملی و دینی با عالی‌ترین سطوح تخصص علمی سازگار است.</w:t>
      </w:r>
    </w:p>
    <w:p>
      <w:pPr>
        <w:pStyle w:val="Heading2"/>
        <w:bidi/>
        <w:spacing w:after="120" w:before="240"/>
      </w:pPr>
      <w:r>
        <w:rPr>
          <w:rFonts w:ascii="Times New Roman" w:cs="Times New Roman" w:eastAsia="Times New Roman" w:hAnsi="Times New Roman"/>
          <w:b/>
          <w:bCs/>
          <w:sz w:val="25"/>
          <w:szCs w:val="25"/>
          <w:rtl/>
        </w:rPr>
        <w:t xml:space="preserve">۵.۴ بُعد اجتماعی ـ اقتصادی</w:t>
      </w:r>
    </w:p>
    <w:p>
      <w:pPr>
        <w:bidi/>
        <w:spacing w:after="120" w:line="360"/>
        <w:ind w:firstLine="360"/>
        <w:jc w:val="both"/>
      </w:pPr>
      <w:r>
        <w:rPr>
          <w:rFonts w:ascii="Times New Roman" w:cs="Times New Roman" w:eastAsia="Times New Roman" w:hAnsi="Times New Roman"/>
          <w:sz w:val="24"/>
          <w:szCs w:val="24"/>
          <w:rtl/>
        </w:rPr>
        <w:t xml:space="preserve">با توجه به آیه‌ی ۷۱ سوره‌ی توبه و سیره‌ی خدیجه‌ی کبری (س)، مشارکت اجتماعی و اقتصادی زن در چارچوب ضوابط اخلاقی و بدون آسیب به خانواده، امری مشروع و مطلوب است. تجربه‌ی تاریخی و معاصر نشان می‌دهد که جامعه‌ی مسلمان در برخی حوزه‌ها، مانند سلامت زنان، آموزش دختران و مشاوره‌ی خانواده، به نیروی متخصص زن نیاز مبرم دارد. حوزه‌های مهم این مشارکت عبارت‌اند از:</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سلامت و آموزش: نیاز جامعه به پزشکان، پرستاران، روان‌شناسان و معلمان زن؛</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کارآفرینی و فعالیت اقتصادی: مشارکت در تولید ثروت، اقتصاد خانگی و استارتاپ‌ها و دستیابی به استقلال مالی؛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فعالیت‌های مدنی و خیریه: سازمان‌های مردم‌نهاد، حمایت از آسیب‌دیدگان و حفاظت از محیط زیست؛</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مشارکت مدیریتی و سیاسی: حضور آگاهانه در نهادهای تصمیم‌گیری، به‌ویژه در موضوعات خانواده و زنان.</w:t>
      </w:r>
    </w:p>
    <w:p>
      <w:pPr>
        <w:bidi/>
        <w:spacing w:after="120" w:line="360"/>
        <w:ind w:firstLine="360"/>
        <w:jc w:val="both"/>
      </w:pPr>
      <w:r>
        <w:rPr>
          <w:rFonts w:ascii="Times New Roman" w:cs="Times New Roman" w:eastAsia="Times New Roman" w:hAnsi="Times New Roman"/>
          <w:sz w:val="24"/>
          <w:szCs w:val="24"/>
          <w:rtl/>
        </w:rPr>
        <w:t xml:space="preserve">اصل اخلاقی حاکم بر این مشارکت، «عدالت و کرامت» است: اشتغال زن نه باید به استثمار یا فشار مضاعف بینجامد و نه به‌عنوان ابزار فروپاشی خانواده تلقی شود. برای نمونه، حمایت قانونی از مرخصی زایمان، کار پاره‌وقت و دورکاری می‌تواند میان این دو، سازگاری ایجاد کند.</w:t>
      </w:r>
    </w:p>
    <w:p>
      <w:pPr>
        <w:pStyle w:val="Heading2"/>
        <w:bidi/>
        <w:spacing w:after="120" w:before="240"/>
      </w:pPr>
      <w:r>
        <w:rPr>
          <w:rFonts w:ascii="Times New Roman" w:cs="Times New Roman" w:eastAsia="Times New Roman" w:hAnsi="Times New Roman"/>
          <w:b/>
          <w:bCs/>
          <w:sz w:val="25"/>
          <w:szCs w:val="25"/>
          <w:rtl/>
        </w:rPr>
        <w:t xml:space="preserve">۵.۵ بُعد رسانه‌ای و گفتمانی</w:t>
      </w:r>
    </w:p>
    <w:p>
      <w:pPr>
        <w:bidi/>
        <w:spacing w:after="120" w:line="360"/>
        <w:ind w:firstLine="360"/>
        <w:jc w:val="both"/>
      </w:pPr>
      <w:r>
        <w:rPr>
          <w:rFonts w:ascii="Times New Roman" w:cs="Times New Roman" w:eastAsia="Times New Roman" w:hAnsi="Times New Roman"/>
          <w:sz w:val="24"/>
          <w:szCs w:val="24"/>
          <w:rtl/>
        </w:rPr>
        <w:t xml:space="preserve">نبرد روایت‌ها امروز در رسانه‌ها و شبکه‌های اجتماعی جریان دارد. ابولغد (۲۰۱۳) نشان می‌دهد که تصویر قالبی «زن مسلمان ستمدیده‌ی نیازمند نجات» چگونه در گفتمان غربی بازتولید می‌شود. زن مسلمان می‌تواند با تولید محتوای هنری، ادبی، سینمایی و آموزشی، روایت خودخواسته و واقعی خود را ارائه کند. این روایت در برابر دو تصویر قالبی قرار می‌گیرد: «زن منفعل و ساکت» و «زن مصرف‌زده و بی‌هویت».</w:t>
      </w:r>
    </w:p>
    <w:p>
      <w:pPr>
        <w:bidi/>
        <w:spacing w:after="120" w:line="360"/>
        <w:ind w:firstLine="360"/>
        <w:jc w:val="both"/>
      </w:pPr>
      <w:r>
        <w:rPr>
          <w:rFonts w:ascii="Times New Roman" w:cs="Times New Roman" w:eastAsia="Times New Roman" w:hAnsi="Times New Roman"/>
          <w:sz w:val="24"/>
          <w:szCs w:val="24"/>
          <w:rtl/>
        </w:rPr>
        <w:t xml:space="preserve">رسالت رسانه‌ای سه مؤلفه دارد: نخست «تولید محتوا»؛ مانند نوشتن، فیلم‌سازی و آموزش آنلاین. دوم «نقد رسانه‌ای»؛ یعنی توانایی تحلیل پیام‌های تبلیغاتی و الگوهای کالایی. سوم «گفت‌وگوی بین‌فرهنگی»؛ یعنی حضور در مجامع علمی و رسانه‌ای جهانی برای ارائه‌ی تصویری دقیق از تنوع تجربه‌ی زنان مسلمان. شکل‌گیری این گفتمان بدون پرهیز از نقد درونی ممکن نیست؛ زیرا روایت معتبر، روایتی است که نقاط ضعف را نیز می‌پذیرد.</w:t>
      </w:r>
    </w:p>
    <w:p>
      <w:pPr>
        <w:pStyle w:val="Heading1"/>
        <w:bidi/>
        <w:spacing w:after="160" w:before="360"/>
      </w:pPr>
      <w:r>
        <w:rPr>
          <w:rFonts w:ascii="Times New Roman" w:cs="Times New Roman" w:eastAsia="Times New Roman" w:hAnsi="Times New Roman"/>
          <w:b/>
          <w:bCs/>
          <w:sz w:val="28"/>
          <w:szCs w:val="28"/>
          <w:rtl/>
        </w:rPr>
        <w:t xml:space="preserve">۶. مقایسه‌ی رویکردها و چالش‌های پیش‌رو</w:t>
      </w:r>
    </w:p>
    <w:p>
      <w:pPr>
        <w:pStyle w:val="Heading2"/>
        <w:bidi/>
        <w:spacing w:after="120" w:before="240"/>
      </w:pPr>
      <w:r>
        <w:rPr>
          <w:rFonts w:ascii="Times New Roman" w:cs="Times New Roman" w:eastAsia="Times New Roman" w:hAnsi="Times New Roman"/>
          <w:b/>
          <w:bCs/>
          <w:sz w:val="25"/>
          <w:szCs w:val="25"/>
          <w:rtl/>
        </w:rPr>
        <w:t xml:space="preserve">۶.۱ مقایسه‌ی سه رویکرد</w:t>
      </w:r>
    </w:p>
    <w:p>
      <w:pPr>
        <w:bidi/>
        <w:spacing w:after="120" w:line="360"/>
        <w:ind w:firstLine="360"/>
        <w:jc w:val="both"/>
      </w:pPr>
      <w:r>
        <w:rPr>
          <w:rFonts w:ascii="Times New Roman" w:cs="Times New Roman" w:eastAsia="Times New Roman" w:hAnsi="Times New Roman"/>
          <w:sz w:val="24"/>
          <w:szCs w:val="24"/>
          <w:rtl/>
        </w:rPr>
        <w:t xml:space="preserve">برای روشن‌شدن وجه تمایز نگاه این مقاله، جدول ۲ سه رویکرد کلی به نقش زن را با هم مقایسه می‌کند.</w:t>
      </w:r>
    </w:p>
    <w:p>
      <w:pPr>
        <w:keepNext/>
        <w:bidi/>
        <w:spacing w:after="80" w:before="160"/>
        <w:jc w:val="center"/>
      </w:pPr>
      <w:r>
        <w:rPr>
          <w:rFonts w:ascii="Times New Roman" w:cs="Times New Roman" w:eastAsia="Times New Roman" w:hAnsi="Times New Roman"/>
          <w:b/>
          <w:bCs/>
          <w:sz w:val="22"/>
          <w:szCs w:val="22"/>
          <w:rtl/>
        </w:rPr>
        <w:t xml:space="preserve">جدول ۲. مقایسه‌ی سه رویکرد به رسالت زن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400"/>
        <w:gridCol w:w="2526"/>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شاخص</w:t>
            </w:r>
          </w:p>
        </w:tc>
        <w:tc>
          <w:tcPr>
            <w:tcW w:type="dxa" w:w="24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رویکرد سنتی‌گرا</w:t>
            </w:r>
          </w:p>
        </w:tc>
        <w:tc>
          <w:tcPr>
            <w:tcW w:type="dxa" w:w="24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رویکرد همسان‌انگار</w:t>
            </w:r>
          </w:p>
        </w:tc>
        <w:tc>
          <w:tcPr>
            <w:tcW w:type="dxa" w:w="2526"/>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رویکرد تکمیلی ـ اصلاحی (این مقاله)</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مبنای انسان‌شناختی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تفاوت جنسیتی همراه با سلسله‌مراتب</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همانندی کامل نقش‌ها</w:t>
            </w:r>
          </w:p>
        </w:tc>
        <w:tc>
          <w:tcPr>
            <w:tcW w:type="dxa" w:w="25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تساوی ارزش و تفاوت نقش</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جایگاه خانواده</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محور تقریباً انحصاری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یکی از انتخاب‌های فردی</w:t>
            </w:r>
          </w:p>
        </w:tc>
        <w:tc>
          <w:tcPr>
            <w:tcW w:type="dxa" w:w="25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نهاد محوری با مسئولیت مشترک</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مشارکت اجتماعی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محدود و مشروط</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نامحدود و بدون ملاحظه‌ی خانواده</w:t>
            </w:r>
          </w:p>
        </w:tc>
        <w:tc>
          <w:tcPr>
            <w:tcW w:type="dxa" w:w="25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مشروع، با توازن و حمایت</w:t>
            </w:r>
          </w:p>
        </w:tc>
      </w:tr>
      <w:tr>
        <w:trPr>
          <w:tblHeader w:val="false"/>
        </w:trPr>
        <w:tc>
          <w:tcPr>
            <w:tcW w:type="dxa" w:w="17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نسبت با متن دینی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تکیه بر برداشت‌های تاریخی</w:t>
            </w:r>
          </w:p>
        </w:tc>
        <w:tc>
          <w:tcPr>
            <w:tcW w:type="dxa" w:w="24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فاصله از دین یا قرائت حداقلی</w:t>
            </w:r>
          </w:p>
        </w:tc>
        <w:tc>
          <w:tcPr>
            <w:tcW w:type="dxa" w:w="25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بازخوانی اجتهادی با تمییز نص از عرف</w:t>
            </w:r>
          </w:p>
        </w:tc>
      </w:tr>
    </w:tbl>
    <w:p>
      <w:pPr>
        <w:bidi/>
        <w:spacing w:after="160"/>
      </w:pPr>
      <w:r>
        <w:rPr>
          <w:rFonts w:ascii="Times New Roman" w:cs="Times New Roman" w:eastAsia="Times New Roman" w:hAnsi="Times New Roman"/>
          <w:i/>
          <w:iCs/>
          <w:sz w:val="20"/>
          <w:szCs w:val="20"/>
          <w:rtl/>
        </w:rPr>
        <w:t xml:space="preserve">منبع: تحلیل نویسنده، با بهره‌گیری از احمد (۱۹۹۲)، بارلاس (۲۰۰۲) و مطهری (۱۳۵۷)</w:t>
      </w:r>
    </w:p>
    <w:p>
      <w:pPr>
        <w:pStyle w:val="Heading2"/>
        <w:bidi/>
        <w:spacing w:after="120" w:before="240"/>
      </w:pPr>
      <w:r>
        <w:rPr>
          <w:rFonts w:ascii="Times New Roman" w:cs="Times New Roman" w:eastAsia="Times New Roman" w:hAnsi="Times New Roman"/>
          <w:b/>
          <w:bCs/>
          <w:sz w:val="25"/>
          <w:szCs w:val="25"/>
          <w:rtl/>
        </w:rPr>
        <w:t xml:space="preserve">۶.۲ چالش‌ها</w:t>
      </w:r>
    </w:p>
    <w:p>
      <w:pPr>
        <w:bidi/>
        <w:spacing w:after="120" w:line="360"/>
        <w:ind w:firstLine="360"/>
        <w:jc w:val="both"/>
      </w:pPr>
      <w:r>
        <w:rPr>
          <w:rFonts w:ascii="Times New Roman" w:cs="Times New Roman" w:eastAsia="Times New Roman" w:hAnsi="Times New Roman"/>
          <w:sz w:val="24"/>
          <w:szCs w:val="24"/>
          <w:rtl/>
        </w:rPr>
        <w:t xml:space="preserve">ایفای رسالت یادشده با چالش‌هایی همراه است که جدول ۳ خلاصه‌ی آنها را همراه با راهکارهای پیشنهادی نشان می‌دهد. توضیح مختصر هر چالش پس از جدول آمده است.</w:t>
      </w:r>
    </w:p>
    <w:p>
      <w:pPr>
        <w:keepNext/>
        <w:bidi/>
        <w:spacing w:after="80" w:before="160"/>
        <w:jc w:val="center"/>
      </w:pPr>
      <w:r>
        <w:rPr>
          <w:rFonts w:ascii="Times New Roman" w:cs="Times New Roman" w:eastAsia="Times New Roman" w:hAnsi="Times New Roman"/>
          <w:b/>
          <w:bCs/>
          <w:sz w:val="22"/>
          <w:szCs w:val="22"/>
          <w:rtl/>
        </w:rPr>
        <w:t xml:space="preserve">جدول ۳. چالش‌ها و راهکارهای ایفای رسالت زن مسلمان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چالش</w:t>
            </w:r>
          </w:p>
        </w:tc>
        <w:tc>
          <w:tcPr>
            <w:tcW w:type="dxa" w:w="3300"/>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تبیین</w:t>
            </w:r>
          </w:p>
        </w:tc>
        <w:tc>
          <w:tcPr>
            <w:tcW w:type="dxa" w:w="3826"/>
            <w:tcBorders>
              <w:top w:val="single" w:color="808080" w:sz="4"/>
              <w:left w:val="single" w:color="808080" w:sz="4"/>
              <w:bottom w:val="single" w:color="808080" w:sz="4"/>
              <w:right w:val="single" w:color="808080" w:sz="4"/>
            </w:tcBorders>
            <w:shd w:fill="D9E2F3" w:color="auto" w:val="clear"/>
            <w:tcMar>
              <w:top w:type="dxa" w:w="80"/>
              <w:left w:type="dxa" w:w="100"/>
              <w:bottom w:type="dxa" w:w="80"/>
              <w:right w:type="dxa" w:w="100"/>
            </w:tcMar>
          </w:tcPr>
          <w:p>
            <w:pPr>
              <w:bidi/>
              <w:spacing w:line="300"/>
            </w:pPr>
            <w:r>
              <w:rPr>
                <w:rFonts w:ascii="Times New Roman" w:cs="Times New Roman" w:eastAsia="Times New Roman" w:hAnsi="Times New Roman"/>
                <w:b/>
                <w:bCs/>
                <w:sz w:val="21"/>
                <w:szCs w:val="21"/>
                <w:rtl/>
              </w:rPr>
              <w:t xml:space="preserve">راهکار پیشنهادی</w:t>
            </w:r>
          </w:p>
        </w:tc>
      </w:tr>
      <w:tr>
        <w:trPr>
          <w:tblHeader w:val="false"/>
        </w:trPr>
        <w:tc>
          <w:tcPr>
            <w:tcW w:type="dxa" w:w="19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تعارض نقش‌ها</w:t>
            </w:r>
          </w:p>
        </w:tc>
        <w:tc>
          <w:tcPr>
            <w:tcW w:type="dxa" w:w="33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انباشت مسئولیت‌های شغلی، مادری و خانگی و فشار روانی ناشی از آن</w:t>
            </w:r>
          </w:p>
        </w:tc>
        <w:tc>
          <w:tcPr>
            <w:tcW w:type="dxa" w:w="38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تقسیم عادلانه‌ی مسئولیت‌ها در خانواده؛ سیاست‌های حمایتی (دورکاری، کار نیمه‌وقت، مرخصی زایمان)</w:t>
            </w:r>
          </w:p>
        </w:tc>
      </w:tr>
      <w:tr>
        <w:trPr>
          <w:tblHeader w:val="false"/>
        </w:trPr>
        <w:tc>
          <w:tcPr>
            <w:tcW w:type="dxa" w:w="19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مصرف‌گرایی و کالایی‌شدن بدن</w:t>
            </w:r>
          </w:p>
        </w:tc>
        <w:tc>
          <w:tcPr>
            <w:tcW w:type="dxa" w:w="33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ترویج الگوهای زیبایی و موفقیت مبتنی بر نمایش و مصرف در رسانه‌ها</w:t>
            </w:r>
          </w:p>
        </w:tc>
        <w:tc>
          <w:tcPr>
            <w:tcW w:type="dxa" w:w="38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تقویت هویت دینی، سواد رسانه‌ای، الگوسازی از زنان عالم و کنش‌گر</w:t>
            </w:r>
          </w:p>
        </w:tc>
      </w:tr>
      <w:tr>
        <w:trPr>
          <w:tblHeader w:val="false"/>
        </w:trPr>
        <w:tc>
          <w:tcPr>
            <w:tcW w:type="dxa" w:w="19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برداشت‌های سنتی تبعیض‌آمیز</w:t>
            </w:r>
          </w:p>
        </w:tc>
        <w:tc>
          <w:tcPr>
            <w:tcW w:type="dxa" w:w="33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خلط آموزه‌های دینی با عرف و آداب فرهنگی محدودکننده</w:t>
            </w:r>
          </w:p>
        </w:tc>
        <w:tc>
          <w:tcPr>
            <w:tcW w:type="dxa" w:w="38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بازخوانی اجتهادی متون؛ تفکیک دین از عرف؛ مشارکت زنان پژوهشگر در اجتهاد</w:t>
            </w:r>
          </w:p>
        </w:tc>
      </w:tr>
      <w:tr>
        <w:trPr>
          <w:tblHeader w:val="false"/>
        </w:trPr>
        <w:tc>
          <w:tcPr>
            <w:tcW w:type="dxa" w:w="19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شبهات نسل جدید</w:t>
            </w:r>
          </w:p>
        </w:tc>
        <w:tc>
          <w:tcPr>
            <w:tcW w:type="dxa" w:w="33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پرسش‌هایی درباره‌ی ارث، شهادت، قوامیت، طلاق و حجاب</w:t>
            </w:r>
          </w:p>
        </w:tc>
        <w:tc>
          <w:tcPr>
            <w:tcW w:type="dxa" w:w="38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پاسخ‌گویی علمی و شفاف بر پایه‌ی فلسفه‌ی احکام و پرهیز از شعارزدگی</w:t>
            </w:r>
          </w:p>
        </w:tc>
      </w:tr>
      <w:tr>
        <w:trPr>
          <w:tblHeader w:val="false"/>
        </w:trPr>
        <w:tc>
          <w:tcPr>
            <w:tcW w:type="dxa" w:w="19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آسیب‌های فضای مجازی</w:t>
            </w:r>
          </w:p>
        </w:tc>
        <w:tc>
          <w:tcPr>
            <w:tcW w:type="dxa" w:w="33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انزوا، مقایسه‌ی اجتماعی، آزار و خشونت دیجیتال</w:t>
            </w:r>
          </w:p>
        </w:tc>
        <w:tc>
          <w:tcPr>
            <w:tcW w:type="dxa" w:w="38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آموزش مهارت‌های دیجیتال، پشتیبانی روانی و حقوقی، ایمنی فضای مجازی</w:t>
            </w:r>
          </w:p>
        </w:tc>
      </w:tr>
      <w:tr>
        <w:trPr>
          <w:tblHeader w:val="false"/>
        </w:trPr>
        <w:tc>
          <w:tcPr>
            <w:tcW w:type="dxa" w:w="19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تضعیف نهاد خانواده</w:t>
            </w:r>
          </w:p>
        </w:tc>
        <w:tc>
          <w:tcPr>
            <w:tcW w:type="dxa" w:w="3300"/>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افزایش تنهایی، دشواری تشکیل و تداوم خانواده</w:t>
            </w:r>
          </w:p>
        </w:tc>
        <w:tc>
          <w:tcPr>
            <w:tcW w:type="dxa" w:w="3826"/>
            <w:tcBorders>
              <w:top w:val="single" w:color="808080" w:sz="4"/>
              <w:left w:val="single" w:color="808080" w:sz="4"/>
              <w:bottom w:val="single" w:color="808080" w:sz="4"/>
              <w:right w:val="single" w:color="808080" w:sz="4"/>
            </w:tcBorders>
            <w:tcMar>
              <w:top w:type="dxa" w:w="80"/>
              <w:left w:type="dxa" w:w="100"/>
              <w:bottom w:type="dxa" w:w="80"/>
              <w:right w:type="dxa" w:w="100"/>
            </w:tcMar>
          </w:tcPr>
          <w:p>
            <w:pPr>
              <w:bidi/>
              <w:spacing w:line="300"/>
            </w:pPr>
            <w:r>
              <w:rPr>
                <w:rFonts w:ascii="Times New Roman" w:cs="Times New Roman" w:eastAsia="Times New Roman" w:hAnsi="Times New Roman"/>
                <w:b w:val="false"/>
                <w:bCs w:val="false"/>
                <w:sz w:val="21"/>
                <w:szCs w:val="21"/>
                <w:rtl/>
              </w:rPr>
              <w:t xml:space="preserve">مشاوره‌ی پیش از ازدواج، آموزش مهارت‌های زندگی، سیاست‌های حمایت از خانواده</w:t>
            </w:r>
          </w:p>
        </w:tc>
      </w:tr>
    </w:tbl>
    <w:p>
      <w:pPr>
        <w:bidi/>
        <w:spacing w:after="160"/>
      </w:pPr>
      <w:r>
        <w:rPr>
          <w:rFonts w:ascii="Times New Roman" w:cs="Times New Roman" w:eastAsia="Times New Roman" w:hAnsi="Times New Roman"/>
          <w:i/>
          <w:iCs/>
          <w:sz w:val="20"/>
          <w:szCs w:val="20"/>
          <w:rtl/>
        </w:rPr>
        <w:t xml:space="preserve">منبع: تحلیل نویسنده</w:t>
      </w:r>
    </w:p>
    <w:p>
      <w:pPr>
        <w:bidi/>
        <w:spacing w:after="120" w:line="360"/>
        <w:jc w:val="both"/>
      </w:pPr>
      <w:r>
        <w:rPr>
          <w:rFonts w:ascii="Times New Roman" w:cs="Times New Roman" w:eastAsia="Times New Roman" w:hAnsi="Times New Roman"/>
          <w:b/>
          <w:bCs/>
          <w:sz w:val="24"/>
          <w:szCs w:val="24"/>
          <w:rtl/>
        </w:rPr>
        <w:t xml:space="preserve">تعارض نقش‌ها: </w:t>
      </w:r>
      <w:r>
        <w:rPr>
          <w:rFonts w:ascii="Times New Roman" w:cs="Times New Roman" w:eastAsia="Times New Roman" w:hAnsi="Times New Roman"/>
          <w:sz w:val="24"/>
          <w:szCs w:val="24"/>
          <w:rtl/>
        </w:rPr>
        <w:t xml:space="preserve">مهم‌ترین چالش عملی زنان امروز، جمع‌کردن مسئولیت‌های حرفه‌ای و خانوادگی است. راه‌حل، «بازتعریف مشارکتی» نقش‌هاست: اگر مرد نیز مسئولیت خانه و فرزندان را مشترکاً بپذیرد و ساختارهای کاری انعطاف‌پذیر شوند، فشار نقش کاهش می‌یابد.</w:t>
      </w:r>
    </w:p>
    <w:p>
      <w:pPr>
        <w:bidi/>
        <w:spacing w:after="120" w:line="360"/>
        <w:jc w:val="both"/>
      </w:pPr>
      <w:r>
        <w:rPr>
          <w:rFonts w:ascii="Times New Roman" w:cs="Times New Roman" w:eastAsia="Times New Roman" w:hAnsi="Times New Roman"/>
          <w:b/>
          <w:bCs/>
          <w:sz w:val="24"/>
          <w:szCs w:val="24"/>
          <w:rtl/>
        </w:rPr>
        <w:t xml:space="preserve">مصرف‌گرایی و کالایی‌شدن: </w:t>
      </w:r>
      <w:r>
        <w:rPr>
          <w:rFonts w:ascii="Times New Roman" w:cs="Times New Roman" w:eastAsia="Times New Roman" w:hAnsi="Times New Roman"/>
          <w:sz w:val="24"/>
          <w:szCs w:val="24"/>
          <w:rtl/>
        </w:rPr>
        <w:t xml:space="preserve">رسانه‌ها و بازار اغلب ارزش زن را به ظاهر او فرو می‌کاهند. در برابر این روند، آموزه‌های اسلامی کرامت ذاتی انسان را مبنا قرار می‌دهند. تقویت اعتماد به نفس مبتنی بر ارزش‌های درونی، مهم‌ترین پادزهر است.</w:t>
      </w:r>
    </w:p>
    <w:p>
      <w:pPr>
        <w:bidi/>
        <w:spacing w:after="120" w:line="360"/>
        <w:jc w:val="both"/>
      </w:pPr>
      <w:r>
        <w:rPr>
          <w:rFonts w:ascii="Times New Roman" w:cs="Times New Roman" w:eastAsia="Times New Roman" w:hAnsi="Times New Roman"/>
          <w:b/>
          <w:bCs/>
          <w:sz w:val="24"/>
          <w:szCs w:val="24"/>
          <w:rtl/>
        </w:rPr>
        <w:t xml:space="preserve">برداشت‌های عرف‌زده: </w:t>
      </w:r>
      <w:r>
        <w:rPr>
          <w:rFonts w:ascii="Times New Roman" w:cs="Times New Roman" w:eastAsia="Times New Roman" w:hAnsi="Times New Roman"/>
          <w:sz w:val="24"/>
          <w:szCs w:val="24"/>
          <w:rtl/>
        </w:rPr>
        <w:t xml:space="preserve">گاه آداب و رسوم محلی با نام دین بر زنان تحمیل می‌شود. نقد این وضعیت، نه نقد دین، بلکه پاسداری از آن است. مطهری (۱۳۵۷) و پژوهشگران بازخوانی‌گرا، هر دو بر این تفکیک تأکید دارند.</w:t>
      </w:r>
    </w:p>
    <w:p>
      <w:pPr>
        <w:bidi/>
        <w:spacing w:after="120" w:line="360"/>
        <w:jc w:val="both"/>
      </w:pPr>
      <w:r>
        <w:rPr>
          <w:rFonts w:ascii="Times New Roman" w:cs="Times New Roman" w:eastAsia="Times New Roman" w:hAnsi="Times New Roman"/>
          <w:b/>
          <w:bCs/>
          <w:sz w:val="24"/>
          <w:szCs w:val="24"/>
          <w:rtl/>
        </w:rPr>
        <w:t xml:space="preserve">شبهات و پرسش‌های نسل جدید: </w:t>
      </w:r>
      <w:r>
        <w:rPr>
          <w:rFonts w:ascii="Times New Roman" w:cs="Times New Roman" w:eastAsia="Times New Roman" w:hAnsi="Times New Roman"/>
          <w:sz w:val="24"/>
          <w:szCs w:val="24"/>
          <w:rtl/>
        </w:rPr>
        <w:t xml:space="preserve">نسل جوان به پاسخ‌های مستدل نیاز دارد. پاسخ‌های کلیشه‌ای یا تحقیرآمیز، به دوری از دین می‌انجامد. پاسخ مؤثر شامل سه عنصر است: شفافیت درباره‌ی مبنا، اعتراف به محل بحث بودن برخی مسائل و گشودگی به اجتهاد.</w:t>
      </w:r>
    </w:p>
    <w:p>
      <w:pPr>
        <w:bidi/>
        <w:spacing w:after="120" w:line="360"/>
        <w:jc w:val="both"/>
      </w:pPr>
      <w:r>
        <w:rPr>
          <w:rFonts w:ascii="Times New Roman" w:cs="Times New Roman" w:eastAsia="Times New Roman" w:hAnsi="Times New Roman"/>
          <w:b/>
          <w:bCs/>
          <w:sz w:val="24"/>
          <w:szCs w:val="24"/>
          <w:rtl/>
        </w:rPr>
        <w:t xml:space="preserve">فضای مجازی: </w:t>
      </w:r>
      <w:r>
        <w:rPr>
          <w:rFonts w:ascii="Times New Roman" w:cs="Times New Roman" w:eastAsia="Times New Roman" w:hAnsi="Times New Roman"/>
          <w:sz w:val="24"/>
          <w:szCs w:val="24"/>
          <w:rtl/>
        </w:rPr>
        <w:t xml:space="preserve">این فضا همزمان فرصت (دسترسی به دانش، شبکه‌سازی و کسب‌وکار) و تهدید (آزار، مقایسه‌ی اجتماعی و اعتیاد) است. آموزش مهارت‌های دیجیتال و تدوین سازوکارهای حقوقی برای حمایت از قربانیان آزار آنلاین، لازمه‌ی بهره‌مندی ایمن است.</w:t>
      </w:r>
    </w:p>
    <w:p>
      <w:pPr>
        <w:bidi/>
        <w:spacing w:after="120" w:line="360"/>
        <w:jc w:val="both"/>
      </w:pPr>
      <w:r>
        <w:rPr>
          <w:rFonts w:ascii="Times New Roman" w:cs="Times New Roman" w:eastAsia="Times New Roman" w:hAnsi="Times New Roman"/>
          <w:b/>
          <w:bCs/>
          <w:sz w:val="24"/>
          <w:szCs w:val="24"/>
          <w:rtl/>
        </w:rPr>
        <w:t xml:space="preserve">تضعیف خانواده: </w:t>
      </w:r>
      <w:r>
        <w:rPr>
          <w:rFonts w:ascii="Times New Roman" w:cs="Times New Roman" w:eastAsia="Times New Roman" w:hAnsi="Times New Roman"/>
          <w:sz w:val="24"/>
          <w:szCs w:val="24"/>
          <w:rtl/>
        </w:rPr>
        <w:t xml:space="preserve">دشواری‌های اقتصادی، تغییر ارزش‌ها و کاهش مهارت‌های ارتباطی، پایداری خانواده را تهدید می‌کند. تقویت مشاوره‌ی پیش از ازدواج و آموزش مهارت‌های زندگی برای هر دو جنس، از راهکارهای اصلی است.</w:t>
      </w:r>
    </w:p>
    <w:p>
      <w:pPr>
        <w:pStyle w:val="Heading1"/>
        <w:bidi/>
        <w:spacing w:after="160" w:before="360"/>
      </w:pPr>
      <w:r>
        <w:rPr>
          <w:rFonts w:ascii="Times New Roman" w:cs="Times New Roman" w:eastAsia="Times New Roman" w:hAnsi="Times New Roman"/>
          <w:b/>
          <w:bCs/>
          <w:sz w:val="28"/>
          <w:szCs w:val="28"/>
          <w:rtl/>
        </w:rPr>
        <w:t xml:space="preserve">۷. راهبردهای پیشنهادی</w:t>
      </w:r>
    </w:p>
    <w:p>
      <w:pPr>
        <w:bidi/>
        <w:spacing w:after="120" w:line="360"/>
        <w:ind w:firstLine="360"/>
        <w:jc w:val="both"/>
      </w:pPr>
      <w:r>
        <w:rPr>
          <w:rFonts w:ascii="Times New Roman" w:cs="Times New Roman" w:eastAsia="Times New Roman" w:hAnsi="Times New Roman"/>
          <w:sz w:val="24"/>
          <w:szCs w:val="24"/>
          <w:rtl/>
        </w:rPr>
        <w:t xml:space="preserve">راهبردهای زیر در پنج سطح فردی، خانوادگی، آموزشی ـ فرهنگی، ساختاری و بین‌المللی پیشنهاد می‌شود.</w:t>
      </w:r>
    </w:p>
    <w:p>
      <w:pPr>
        <w:pStyle w:val="Heading2"/>
        <w:bidi/>
        <w:spacing w:after="120" w:before="240"/>
      </w:pPr>
      <w:r>
        <w:rPr>
          <w:rFonts w:ascii="Times New Roman" w:cs="Times New Roman" w:eastAsia="Times New Roman" w:hAnsi="Times New Roman"/>
          <w:b/>
          <w:bCs/>
          <w:sz w:val="25"/>
          <w:szCs w:val="25"/>
          <w:rtl/>
        </w:rPr>
        <w:t xml:space="preserve">۷.۱ سطح فردی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بازشناسی هویت: بازگشت به منابع اصیل، مطالعه‌ی مستقیم قرآن و بازتعریف مفاهیم کلیدی هویت زن با زبان روز؛</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توانمندسازی مهارتی: تقویت مهارت‌های ارتباطی، مدیریت زمان، سواد مالی و سواد دیجیتال.</w:t>
      </w:r>
    </w:p>
    <w:p>
      <w:pPr>
        <w:pStyle w:val="Heading2"/>
        <w:bidi/>
        <w:spacing w:after="120" w:before="240"/>
      </w:pPr>
      <w:r>
        <w:rPr>
          <w:rFonts w:ascii="Times New Roman" w:cs="Times New Roman" w:eastAsia="Times New Roman" w:hAnsi="Times New Roman"/>
          <w:b/>
          <w:bCs/>
          <w:sz w:val="25"/>
          <w:szCs w:val="25"/>
          <w:rtl/>
        </w:rPr>
        <w:t xml:space="preserve">۷.۲ سطح خانوادگی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تقسیم مشارکتی مسئولیت‌ها: تشویق همسران به مشارکت در امور خانه و فرزندپروری؛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مشاوره و آموزش: برگزاری دوره‌های پیش و پس از ازدواج برای هر دو جنس.</w:t>
      </w:r>
    </w:p>
    <w:p>
      <w:pPr>
        <w:pStyle w:val="Heading2"/>
        <w:bidi/>
        <w:spacing w:after="120" w:before="240"/>
      </w:pPr>
      <w:r>
        <w:rPr>
          <w:rFonts w:ascii="Times New Roman" w:cs="Times New Roman" w:eastAsia="Times New Roman" w:hAnsi="Times New Roman"/>
          <w:b/>
          <w:bCs/>
          <w:sz w:val="25"/>
          <w:szCs w:val="25"/>
          <w:rtl/>
        </w:rPr>
        <w:t xml:space="preserve">۷.۳ سطح آموزشی ـ فرهنگی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تقویت آموزش دینی و علمی دختران: تلفیق معنویت و تخصص در نظام آموزشی و حمایت از حوزه‌های علمیه‌ی زنان؛</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الگوسازی: معرفی زنان موفق مسلمان در عرصه‌های علم، کارآفرینی، هنر و خدمات اجتماعی، همراه با روایت چالش‌ها و راه‌حل‌های آنان؛</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تولید محتوای رسانه‌ای: حمایت از تولید آثار هنری و آموزشی با روایت واقعی از زنان.</w:t>
      </w:r>
    </w:p>
    <w:p>
      <w:pPr>
        <w:pStyle w:val="Heading2"/>
        <w:bidi/>
        <w:spacing w:after="120" w:before="240"/>
      </w:pPr>
      <w:r>
        <w:rPr>
          <w:rFonts w:ascii="Times New Roman" w:cs="Times New Roman" w:eastAsia="Times New Roman" w:hAnsi="Times New Roman"/>
          <w:b/>
          <w:bCs/>
          <w:sz w:val="25"/>
          <w:szCs w:val="25"/>
          <w:rtl/>
        </w:rPr>
        <w:t xml:space="preserve">۷.۴ سطح ساختاری و سیاست‌گذاری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اصلاح رویه‌ها: بازنگری قوانین و رویه‌هایی که بدون پشتوانه‌ی دینی حقوق زنان را محدود می‌کنند، از راه اجتهاد روزآمد؛</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حمایت از خانواده: سیاست‌گذاری برای کاهش فشار نقش‌های چندگانه (مرخصی، مهدکودک، ساعت کار انعطاف‌پذیر)؛</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ایمنی فضای مجازی: ایجاد سازوکارهای حقوقی و روانی برای حمایت از زنان در برابر آزار.</w:t>
      </w:r>
    </w:p>
    <w:p>
      <w:pPr>
        <w:pStyle w:val="Heading2"/>
        <w:bidi/>
        <w:spacing w:after="120" w:before="240"/>
      </w:pPr>
      <w:r>
        <w:rPr>
          <w:rFonts w:ascii="Times New Roman" w:cs="Times New Roman" w:eastAsia="Times New Roman" w:hAnsi="Times New Roman"/>
          <w:b/>
          <w:bCs/>
          <w:sz w:val="25"/>
          <w:szCs w:val="25"/>
          <w:rtl/>
        </w:rPr>
        <w:t xml:space="preserve">۷.۵ سطح بین‌المللی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گفت‌وگوی بین‌فرهنگی: حضور فعال زنان مسلمان در مجامع علمی و بین‌المللی؛</w:t>
      </w:r>
    </w:p>
    <w:p>
      <w:pPr>
        <w:pStyle w:val="ListParagraph"/>
        <w:numPr>
          <w:ilvl w:val="0"/>
          <w:numId w:val="2"/>
        </w:numPr>
        <w:bidi/>
        <w:spacing w:after="80" w:line="340"/>
        <w:jc w:val="both"/>
      </w:pPr>
      <w:r>
        <w:rPr>
          <w:rFonts w:ascii="Times New Roman" w:cs="Times New Roman" w:eastAsia="Times New Roman" w:hAnsi="Times New Roman"/>
          <w:sz w:val="24"/>
          <w:szCs w:val="24"/>
          <w:rtl/>
        </w:rPr>
        <w:t xml:space="preserve">شبکه‌سازی: تشکیل تشکل‌های زنان برای تبادل تجربه و حمایت متقابل در جوامع مسلمان گوناگون.</w:t>
      </w:r>
    </w:p>
    <w:p>
      <w:pPr>
        <w:pStyle w:val="Heading1"/>
        <w:bidi/>
        <w:spacing w:after="160" w:before="360"/>
      </w:pPr>
      <w:r>
        <w:rPr>
          <w:rFonts w:ascii="Times New Roman" w:cs="Times New Roman" w:eastAsia="Times New Roman" w:hAnsi="Times New Roman"/>
          <w:b/>
          <w:bCs/>
          <w:sz w:val="28"/>
          <w:szCs w:val="28"/>
          <w:rtl/>
        </w:rPr>
        <w:t xml:space="preserve">۸. فرصت‌های عصر جدید</w:t>
      </w:r>
    </w:p>
    <w:p>
      <w:pPr>
        <w:bidi/>
        <w:spacing w:after="120" w:line="360"/>
        <w:ind w:firstLine="360"/>
        <w:jc w:val="both"/>
      </w:pPr>
      <w:r>
        <w:rPr>
          <w:rFonts w:ascii="Times New Roman" w:cs="Times New Roman" w:eastAsia="Times New Roman" w:hAnsi="Times New Roman"/>
          <w:sz w:val="24"/>
          <w:szCs w:val="24"/>
          <w:rtl/>
        </w:rPr>
        <w:t xml:space="preserve">در کنار چالش‌ها، جهان معاصر فرصت‌های بی‌سابقه‌ای نیز فراهم کرده است. گسترش آموزش آنلاین، دانش را از جغرافیا و محدودیت‌های رفت‌وآمد رها کرده است. اقتصاد دیجیتال امکان کار از خانه و کارآفرینی با سرمایه‌ی اندک را برای زنان گشوده است. شبکه‌های اجتماعی ابزار سازمان‌دهی و صدارسانی را در اختیار گروه‌های کوچک قرار می‌دهند. همچنین ابزارهای هوشمند، دسترسی به منابع دینی، ترجمه و پژوهش را آسان کرده‌اند. بهره‌برداری از این فرصت‌ها مستلزم دو شرط است: سواد انتقادی برای مواجهه‌ی آگاهانه با فضای رسانه‌ای، و چارچوب اخلاقی برای هدایت کنش‌ها. در این معنا، رسالت زن مسلمان در جهان امروز، «بهره‌گیری اخلاق‌محور از فرصت‌ها» نیز هست.</w:t>
      </w:r>
    </w:p>
    <w:p>
      <w:pPr>
        <w:pStyle w:val="Heading1"/>
        <w:bidi/>
        <w:spacing w:after="160" w:before="360"/>
      </w:pPr>
      <w:r>
        <w:rPr>
          <w:rFonts w:ascii="Times New Roman" w:cs="Times New Roman" w:eastAsia="Times New Roman" w:hAnsi="Times New Roman"/>
          <w:b/>
          <w:bCs/>
          <w:sz w:val="28"/>
          <w:szCs w:val="28"/>
          <w:rtl/>
        </w:rPr>
        <w:t xml:space="preserve">۹. نتیجه‌گیری</w:t>
      </w:r>
    </w:p>
    <w:p>
      <w:pPr>
        <w:bidi/>
        <w:spacing w:after="120" w:line="360"/>
        <w:ind w:firstLine="360"/>
        <w:jc w:val="both"/>
      </w:pPr>
      <w:r>
        <w:rPr>
          <w:rFonts w:ascii="Times New Roman" w:cs="Times New Roman" w:eastAsia="Times New Roman" w:hAnsi="Times New Roman"/>
          <w:sz w:val="24"/>
          <w:szCs w:val="24"/>
          <w:rtl/>
        </w:rPr>
        <w:t xml:space="preserve">یافته‌های این پژوهش نشان می‌دهد که رسالت زن مسلمان در دنیای معاصر مجموعه‌ای هم‌پیوند از بندگی و تزکیه، خانواده‌سازی، دانش‌اندوزی، خدمت اجتماعی و هویت‌بخشی فرهنگی است. مبانی قرآنی بر برابری ارزش انسانی و مسئولیت مشترک زن و مرد تأکید دارند؛ سیره‌ی بانوان نمونه، سابقه‌ی حضور فعال زنان در عرصه‌های گوناگون را نشان می‌دهد و مدل مفهومی پنج‌بعدی این مقاله چارچوبی برای فهم نسبت میان این ابعاد ارائه می‌کند که در آن بُعد معنوی هسته‌ی هویتی و ابعاد دیگر، تجلیات آن در عرصه‌های خانواده، علم، اجتماع و رسانه‌اند.</w:t>
      </w:r>
    </w:p>
    <w:p>
      <w:pPr>
        <w:bidi/>
        <w:spacing w:after="120" w:line="360"/>
        <w:ind w:firstLine="360"/>
        <w:jc w:val="both"/>
      </w:pPr>
      <w:r>
        <w:rPr>
          <w:rFonts w:ascii="Times New Roman" w:cs="Times New Roman" w:eastAsia="Times New Roman" w:hAnsi="Times New Roman"/>
          <w:sz w:val="24"/>
          <w:szCs w:val="24"/>
          <w:rtl/>
        </w:rPr>
        <w:t xml:space="preserve">در پاسخ به پرسش‌های فرعی می‌توان گفت: نخست، مبانی دینی رسالت زن بر هویت مشترک انسانی، برابری در مسیر کمال و مسئولیت اجتماعی مشترک استوار است. دوم، سیره‌ی بانوان نمونه نشان می‌دهد که معنویت، خانواده، علم و اجتماع در زندگی زنان با یکدیگر قابل جمع‌اند. سوم، رسالت زن در پنج بُعد معنوی، خانوادگی، علمی ـ فرهنگی، اجتماعی ـ اقتصادی و رسانه‌ای قابل تحلیل است. چهارم، چالش‌هایی چون تعارض نقش‌ها، مصرف‌گرایی، برداشت‌های عرف‌زده، شبهات نسل جدید، آسیب‌های فضای مجازی و تضعیف خانواده، با راهبردهای چندسطحی قابل مدیریت‌اند.</w:t>
      </w:r>
    </w:p>
    <w:p>
      <w:pPr>
        <w:bidi/>
        <w:spacing w:after="120" w:line="360"/>
        <w:ind w:firstLine="360"/>
        <w:jc w:val="both"/>
      </w:pPr>
      <w:r>
        <w:rPr>
          <w:rFonts w:ascii="Times New Roman" w:cs="Times New Roman" w:eastAsia="Times New Roman" w:hAnsi="Times New Roman"/>
          <w:sz w:val="24"/>
          <w:szCs w:val="24"/>
          <w:rtl/>
        </w:rPr>
        <w:t xml:space="preserve">محدودیت‌ها و پیشنهادهای پژوهشی: این مقاله به دلیل ماهیت نظری، محدود به تحلیل متنی است و تنوع تجربه‌ی زنان در جوامع گوناگون را به‌طور میدانی بررسی نمی‌کند. پژوهش‌های آینده می‌توانند با مطالعات میدانی و تطبیقی، تجربه‌ی زیسته‌ی زنان را از نظر میزان تحقق این رسالت و موانع آن بررسی کنند؛ همچنین تأثیر هوش مصنوعی و اقتصاد دیجیتال بر نقش‌های زنان، و ارزیابی اثربخشی سیاست‌های حمایتی خانواده، از موضوعات پیشنهادی برای پژوهش‌های بعدی است.</w:t>
      </w:r>
    </w:p>
    <w:p>
      <w:pPr>
        <w:pStyle w:val="Heading1"/>
        <w:bidi/>
        <w:spacing w:after="160" w:before="360"/>
      </w:pPr>
      <w:r>
        <w:rPr>
          <w:rFonts w:ascii="Times New Roman" w:cs="Times New Roman" w:eastAsia="Times New Roman" w:hAnsi="Times New Roman"/>
          <w:b/>
          <w:bCs/>
          <w:sz w:val="28"/>
          <w:szCs w:val="28"/>
          <w:rtl/>
        </w:rPr>
        <w:t xml:space="preserve">منابع</w:t>
      </w:r>
    </w:p>
    <w:p>
      <w:pPr>
        <w:bidi/>
        <w:spacing w:after="120" w:line="360"/>
        <w:jc w:val="both"/>
      </w:pPr>
      <w:r>
        <w:rPr>
          <w:rFonts w:ascii="Times New Roman" w:cs="Times New Roman" w:eastAsia="Times New Roman" w:hAnsi="Times New Roman"/>
          <w:sz w:val="24"/>
          <w:szCs w:val="24"/>
          <w:rtl/>
        </w:rPr>
        <w:t xml:space="preserve">قرآن کریم.</w:t>
      </w:r>
    </w:p>
    <w:p>
      <w:pPr>
        <w:bidi/>
        <w:spacing w:after="100" w:line="320"/>
        <w:ind w:left="720" w:hanging="720"/>
        <w:jc w:val="start"/>
      </w:pPr>
      <w:r>
        <w:rPr>
          <w:rFonts w:ascii="Times New Roman" w:cs="Times New Roman" w:eastAsia="Times New Roman" w:hAnsi="Times New Roman"/>
          <w:sz w:val="22"/>
          <w:szCs w:val="22"/>
          <w:rtl/>
        </w:rPr>
        <w:t xml:space="preserve">جوادی آملی، عبدالله (۱۳۷۵). زن در آینه‌ی جلال و جمال. قم: مرکز نشر اسراء.</w:t>
      </w:r>
    </w:p>
    <w:p>
      <w:pPr>
        <w:bidi/>
        <w:spacing w:after="100" w:line="320"/>
        <w:ind w:left="720" w:hanging="720"/>
        <w:jc w:val="start"/>
      </w:pPr>
      <w:r>
        <w:rPr>
          <w:rFonts w:ascii="Times New Roman" w:cs="Times New Roman" w:eastAsia="Times New Roman" w:hAnsi="Times New Roman"/>
          <w:sz w:val="22"/>
          <w:szCs w:val="22"/>
          <w:rtl/>
        </w:rPr>
        <w:t xml:space="preserve">طباطبایی، محمدحسین (۱۴۱۷ق). المیزان فی تفسیر القرآن. قم: دفتر انتشارات اسلامی.</w:t>
      </w:r>
    </w:p>
    <w:p>
      <w:pPr>
        <w:bidi/>
        <w:spacing w:after="100" w:line="320"/>
        <w:ind w:left="720" w:hanging="720"/>
        <w:jc w:val="start"/>
      </w:pPr>
      <w:r>
        <w:rPr>
          <w:rFonts w:ascii="Times New Roman" w:cs="Times New Roman" w:eastAsia="Times New Roman" w:hAnsi="Times New Roman"/>
          <w:sz w:val="22"/>
          <w:szCs w:val="22"/>
          <w:rtl/>
        </w:rPr>
        <w:t xml:space="preserve">کلینی، محمد بن یعقوب (۱۴۰۷ق). الکافی. تهران: دارالکتب الاسلامیه.</w:t>
      </w:r>
    </w:p>
    <w:p>
      <w:pPr>
        <w:bidi/>
        <w:spacing w:after="100" w:line="320"/>
        <w:ind w:left="720" w:hanging="720"/>
        <w:jc w:val="start"/>
      </w:pPr>
      <w:r>
        <w:rPr>
          <w:rFonts w:ascii="Times New Roman" w:cs="Times New Roman" w:eastAsia="Times New Roman" w:hAnsi="Times New Roman"/>
          <w:sz w:val="22"/>
          <w:szCs w:val="22"/>
          <w:rtl/>
        </w:rPr>
        <w:t xml:space="preserve">مطهری، مرتضی (۱۳۴۸). مسئله‌ی حجاب. تهران: انتشارات صدرا.</w:t>
      </w:r>
    </w:p>
    <w:p>
      <w:pPr>
        <w:bidi/>
        <w:spacing w:after="100" w:line="320"/>
        <w:ind w:left="720" w:hanging="720"/>
        <w:jc w:val="start"/>
      </w:pPr>
      <w:r>
        <w:rPr>
          <w:rFonts w:ascii="Times New Roman" w:cs="Times New Roman" w:eastAsia="Times New Roman" w:hAnsi="Times New Roman"/>
          <w:sz w:val="22"/>
          <w:szCs w:val="22"/>
          <w:rtl/>
        </w:rPr>
        <w:t xml:space="preserve">مطهری، مرتضی (۱۳۵۷). نظام حقوق زن در اسلام. تهران: انتشارات صدرا.</w:t>
      </w:r>
    </w:p>
    <w:p>
      <w:pPr>
        <w:spacing w:after="100" w:line="320"/>
        <w:ind w:left="720" w:hanging="720"/>
        <w:jc w:val="both"/>
      </w:pPr>
      <w:r>
        <w:rPr>
          <w:rFonts w:ascii="Times New Roman" w:cs="Times New Roman" w:eastAsia="Times New Roman" w:hAnsi="Times New Roman"/>
          <w:sz w:val="22"/>
          <w:szCs w:val="22"/>
        </w:rPr>
        <w:t xml:space="preserve">Abu-Lughod, L. (2013). Do Muslim women need saving? Harvard University Press.</w:t>
      </w:r>
    </w:p>
    <w:p>
      <w:pPr>
        <w:spacing w:after="100" w:line="320"/>
        <w:ind w:left="720" w:hanging="720"/>
        <w:jc w:val="both"/>
      </w:pPr>
      <w:r>
        <w:rPr>
          <w:rFonts w:ascii="Times New Roman" w:cs="Times New Roman" w:eastAsia="Times New Roman" w:hAnsi="Times New Roman"/>
          <w:sz w:val="22"/>
          <w:szCs w:val="22"/>
        </w:rPr>
        <w:t xml:space="preserve">Ahmed, L. (1992). Women and gender in Islam: Historical roots of a modern debate. Yale University Press.</w:t>
      </w:r>
    </w:p>
    <w:p>
      <w:pPr>
        <w:spacing w:after="100" w:line="320"/>
        <w:ind w:left="720" w:hanging="720"/>
        <w:jc w:val="both"/>
      </w:pPr>
      <w:r>
        <w:rPr>
          <w:rFonts w:ascii="Times New Roman" w:cs="Times New Roman" w:eastAsia="Times New Roman" w:hAnsi="Times New Roman"/>
          <w:sz w:val="22"/>
          <w:szCs w:val="22"/>
        </w:rPr>
        <w:t xml:space="preserve">Ali, K. (2006). Sexual ethics and Islam: Feminist reflections on Qur'an, hadith, and jurisprudence. Oneworld.</w:t>
      </w:r>
    </w:p>
    <w:p>
      <w:pPr>
        <w:spacing w:after="100" w:line="320"/>
        <w:ind w:left="720" w:hanging="720"/>
        <w:jc w:val="both"/>
      </w:pPr>
      <w:r>
        <w:rPr>
          <w:rFonts w:ascii="Times New Roman" w:cs="Times New Roman" w:eastAsia="Times New Roman" w:hAnsi="Times New Roman"/>
          <w:sz w:val="22"/>
          <w:szCs w:val="22"/>
        </w:rPr>
        <w:t xml:space="preserve">Badran, M. (2009). Feminism in Islam: Secular and religious convergences. Oneworld.</w:t>
      </w:r>
    </w:p>
    <w:p>
      <w:pPr>
        <w:spacing w:after="100" w:line="320"/>
        <w:ind w:left="720" w:hanging="720"/>
        <w:jc w:val="both"/>
      </w:pPr>
      <w:r>
        <w:rPr>
          <w:rFonts w:ascii="Times New Roman" w:cs="Times New Roman" w:eastAsia="Times New Roman" w:hAnsi="Times New Roman"/>
          <w:sz w:val="22"/>
          <w:szCs w:val="22"/>
        </w:rPr>
        <w:t xml:space="preserve">Barlas, A. (2002). "Believing women" in Islam: Unreading patriarchal interpretations of the Qur'an. University of Texas Press.</w:t>
      </w:r>
    </w:p>
    <w:p>
      <w:pPr>
        <w:spacing w:after="100" w:line="320"/>
        <w:ind w:left="720" w:hanging="720"/>
        <w:jc w:val="both"/>
      </w:pPr>
      <w:r>
        <w:rPr>
          <w:rFonts w:ascii="Times New Roman" w:cs="Times New Roman" w:eastAsia="Times New Roman" w:hAnsi="Times New Roman"/>
          <w:sz w:val="22"/>
          <w:szCs w:val="22"/>
        </w:rPr>
        <w:t xml:space="preserve">Esposito, J. L., &amp; DeLong-Bas, N. J. (2001). Women in Muslim family law (2nd ed.). Syracuse University Press.</w:t>
      </w:r>
    </w:p>
    <w:p>
      <w:pPr>
        <w:spacing w:after="100" w:line="320"/>
        <w:ind w:left="720" w:hanging="720"/>
        <w:jc w:val="both"/>
      </w:pPr>
      <w:r>
        <w:rPr>
          <w:rFonts w:ascii="Times New Roman" w:cs="Times New Roman" w:eastAsia="Times New Roman" w:hAnsi="Times New Roman"/>
          <w:sz w:val="22"/>
          <w:szCs w:val="22"/>
        </w:rPr>
        <w:t xml:space="preserve">Hidayatullah, A. A. (2014). Feminist edges of the Qur'an. Oxford University Press.</w:t>
      </w:r>
    </w:p>
    <w:p>
      <w:pPr>
        <w:spacing w:after="100" w:line="320"/>
        <w:ind w:left="720" w:hanging="720"/>
        <w:jc w:val="both"/>
      </w:pPr>
      <w:r>
        <w:rPr>
          <w:rFonts w:ascii="Times New Roman" w:cs="Times New Roman" w:eastAsia="Times New Roman" w:hAnsi="Times New Roman"/>
          <w:sz w:val="22"/>
          <w:szCs w:val="22"/>
        </w:rPr>
        <w:t xml:space="preserve">Mahmood, S. (2005). Politics of piety: The Islamic revival and the feminist subject. Princeton University Press.</w:t>
      </w:r>
    </w:p>
    <w:p>
      <w:pPr>
        <w:spacing w:after="100" w:line="320"/>
        <w:ind w:left="720" w:hanging="720"/>
        <w:jc w:val="both"/>
      </w:pPr>
      <w:r>
        <w:rPr>
          <w:rFonts w:ascii="Times New Roman" w:cs="Times New Roman" w:eastAsia="Times New Roman" w:hAnsi="Times New Roman"/>
          <w:sz w:val="22"/>
          <w:szCs w:val="22"/>
        </w:rPr>
        <w:t xml:space="preserve">Mernissi, F. (1991). The veil and the male elite: A feminist interpretation of women's rights in Islam. Addison-Wesley.</w:t>
      </w:r>
    </w:p>
    <w:p>
      <w:pPr>
        <w:spacing w:after="100" w:line="320"/>
        <w:ind w:left="720" w:hanging="720"/>
        <w:jc w:val="both"/>
      </w:pPr>
      <w:r>
        <w:rPr>
          <w:rFonts w:ascii="Times New Roman" w:cs="Times New Roman" w:eastAsia="Times New Roman" w:hAnsi="Times New Roman"/>
          <w:sz w:val="22"/>
          <w:szCs w:val="22"/>
        </w:rPr>
        <w:t xml:space="preserve">Mir-Hosseini, Z. (1999). Islam and gender: The religious debate in contemporary Iran. Princeton University Press.</w:t>
      </w:r>
    </w:p>
    <w:p>
      <w:pPr>
        <w:spacing w:after="100" w:line="320"/>
        <w:ind w:left="720" w:hanging="720"/>
        <w:jc w:val="both"/>
      </w:pPr>
      <w:r>
        <w:rPr>
          <w:rFonts w:ascii="Times New Roman" w:cs="Times New Roman" w:eastAsia="Times New Roman" w:hAnsi="Times New Roman"/>
          <w:sz w:val="22"/>
          <w:szCs w:val="22"/>
        </w:rPr>
        <w:t xml:space="preserve">Wadud, A. (1999). Qur'an and woman: Rereading the sacred text from a woman's perspective. Oxford University Press.</w:t>
      </w:r>
    </w:p>
    <w:p>
      <w:pPr>
        <w:pageBreakBefore/>
        <w:spacing w:after="200"/>
        <w:jc w:val="center"/>
      </w:pPr>
      <w:r>
        <w:rPr>
          <w:rFonts w:ascii="Times New Roman" w:cs="Times New Roman" w:eastAsia="Times New Roman" w:hAnsi="Times New Roman"/>
          <w:b/>
          <w:bCs/>
          <w:sz w:val="28"/>
          <w:szCs w:val="28"/>
        </w:rPr>
        <w:t xml:space="preserve">The Mission of the Muslim Woman in the Contemporary World: Revisiting Foundations, Models, Dimensions and Challenges</w:t>
      </w:r>
    </w:p>
    <w:p>
      <w:pPr>
        <w:spacing w:after="100" w:line="320"/>
        <w:jc w:val="both"/>
      </w:pPr>
      <w:r>
        <w:rPr>
          <w:rFonts w:ascii="Times New Roman" w:cs="Times New Roman" w:eastAsia="Times New Roman" w:hAnsi="Times New Roman"/>
          <w:b/>
          <w:bCs/>
          <w:sz w:val="24"/>
          <w:szCs w:val="24"/>
        </w:rPr>
        <w:t xml:space="preserve">Abstract</w:t>
      </w:r>
    </w:p>
    <w:p>
      <w:pPr>
        <w:spacing w:after="100" w:line="320"/>
        <w:jc w:val="both"/>
      </w:pPr>
      <w:r>
        <w:rPr>
          <w:rFonts w:ascii="Times New Roman" w:cs="Times New Roman" w:eastAsia="Times New Roman" w:hAnsi="Times New Roman"/>
          <w:sz w:val="22"/>
          <w:szCs w:val="22"/>
        </w:rPr>
        <w:t xml:space="preserve">The contemporary world, shaped by globalization, rapid digital and technological change, transformations in family structure and a crisis of meaning, has made the question of the Muslim woman's mission more pressing. Between two extreme readings, one reducing women to traditional roles and the other demanding total equivalence with a Western model, this study asks how a contemporary yet textually grounded account of that mission can be articulated. Using a descriptive-analytical method and library-based data collection, it draws on the Qur'an, the Prophetic tradition, the biographies of exemplary Muslim women, and the work of Muslim thinkers and contemporary scholars, and proposes a five-dimensional conceptual model: spiritual, familial, scholarly-cultural, socio-economic, and media-discursive. The findings indicate that Islamic teachings stress the equality of women and men in human worth and divine accountability while recognising complementary roles, and that the Muslim woman has an active, independent role in devotion and self-purification, upbringing, learning, social reform and cultural narration. Role conflict, consumerism, custom-laden interpretations, new-generation doubts, digital harms and weakened family institutions complicate the fulfilment of this mission. The article concludes with strategies at the individual, family, educational-cultural, structural and international levels.</w:t>
      </w:r>
    </w:p>
    <w:p>
      <w:pPr>
        <w:spacing w:after="100" w:line="320"/>
        <w:jc w:val="both"/>
      </w:pPr>
      <w:r>
        <w:rPr>
          <w:rFonts w:ascii="Times New Roman" w:cs="Times New Roman" w:eastAsia="Times New Roman" w:hAnsi="Times New Roman"/>
          <w:i/>
          <w:iCs/>
          <w:sz w:val="22"/>
          <w:szCs w:val="22"/>
        </w:rPr>
        <w:t xml:space="preserve">Keywords: Muslim woman, mission, identity, family, social participation, ijtihad, contemporary world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رسالت زن مسلمان در دنیای معاصر</dc:title>
  <dc:creator>Claude</dc:creator>
  <cp:lastModifiedBy>Un-named</cp:lastModifiedBy>
  <cp:revision>1</cp:revision>
  <dcterms:created xsi:type="dcterms:W3CDTF">2026-10-14T19:18:01.189Z</dcterms:created>
  <dcterms:modified xsi:type="dcterms:W3CDTF">2026-10-14T19:18:01.190Z</dcterms:modified>
</cp:coreProperties>
</file>

<file path=docProps/custom.xml><?xml version="1.0" encoding="utf-8"?>
<Properties xmlns="http://schemas.openxmlformats.org/officeDocument/2006/custom-properties" xmlns:vt="http://schemas.openxmlformats.org/officeDocument/2006/docPropsVTypes"/>
</file>