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5264C" w14:textId="19C1DB99" w:rsidR="00E94CEF" w:rsidRDefault="00153DD1">
      <w:pPr>
        <w:pStyle w:val="Heading1"/>
        <w:bidi/>
        <w:spacing w:before="5600"/>
        <w:jc w:val="lowKashida"/>
        <w:rPr>
          <w:rFonts w:cs="B Titr"/>
          <w:sz w:val="40"/>
          <w:szCs w:val="40"/>
        </w:rPr>
      </w:pPr>
      <w:r>
        <w:rPr>
          <w:rFonts w:cs="B Titr"/>
          <w:sz w:val="40"/>
          <w:szCs w:val="40"/>
        </w:rPr>
        <w:t>فصل چهارم: تجزیه و تحلیل داده‌ها</w:t>
      </w:r>
    </w:p>
    <w:p w14:paraId="3D123BE6" w14:textId="77777777" w:rsidR="00425877" w:rsidRDefault="00425877" w:rsidP="00425877">
      <w:pPr>
        <w:pStyle w:val="Heading1"/>
        <w:bidi/>
        <w:spacing w:before="5600"/>
        <w:jc w:val="lowKashida"/>
        <w:rPr>
          <w:rFonts w:cs="B Titr"/>
          <w:sz w:val="40"/>
          <w:szCs w:val="40"/>
        </w:rPr>
      </w:pPr>
    </w:p>
    <w:p w14:paraId="787B097F" w14:textId="77777777" w:rsidR="00E94CEF" w:rsidRDefault="00E94CEF">
      <w:pPr>
        <w:bidi/>
        <w:jc w:val="lowKashida"/>
      </w:pPr>
    </w:p>
    <w:p w14:paraId="23284FD0" w14:textId="77777777" w:rsidR="00E94CEF" w:rsidRDefault="00153DD1">
      <w:pPr>
        <w:pStyle w:val="Heading2"/>
        <w:keepNext/>
        <w:bidi/>
        <w:spacing w:before="240" w:after="80"/>
        <w:jc w:val="lowKashida"/>
        <w:rPr>
          <w:sz w:val="32"/>
          <w:szCs w:val="32"/>
        </w:rPr>
      </w:pPr>
      <w:r>
        <w:rPr>
          <w:sz w:val="32"/>
          <w:szCs w:val="32"/>
        </w:rPr>
        <w:t>۴-۱ مقدمه</w:t>
      </w:r>
    </w:p>
    <w:p w14:paraId="5C8AB002" w14:textId="77777777" w:rsidR="00E94CEF" w:rsidRDefault="00153DD1">
      <w:pPr>
        <w:bidi/>
        <w:spacing w:after="80"/>
        <w:jc w:val="lowKashida"/>
      </w:pPr>
      <w:r>
        <w:rPr>
          <w:rtl/>
        </w:rPr>
        <w:t>این فصل به گزارش یافته‌های حاصل از اجرای روش دلفی با پانل هفت نفره خبرگان اختصاص دارد. هر سه دور این فرایند — دور نخست (کیفی و اکتشافی)، و دور دوم و دور سوم (رتبه‌بندی ساختاریافته با بازخورد کنترل‌شده) — تکمیل شده‌اند. دور سوم، دور پایانی فرایند دلفی در ای</w:t>
      </w:r>
      <w:r>
        <w:rPr>
          <w:rtl/>
        </w:rPr>
        <w:t>ن پژوهش بود. ساختار فصل از منطق تحلیل داده در پژوهش‌های دلفی پیروی می‌کند: نخست آمار توصیفی مربوط به ترکیب پانل و خروجی دورهای دلفی ارائه می‌شود؛ سپس آمار استنباطی برای سنجش معناداری اجماع میان دورها به کار می‌رود؛ و در پایان، یافته‌ها برای پاسخ به پرسش‌ها</w:t>
      </w:r>
      <w:r>
        <w:rPr>
          <w:rtl/>
        </w:rPr>
        <w:t>ی پژوهش — نه آزمون فرضیه آماری، چرا که این پژوهش، همان‌گونه که در بخش ۱-۶ تشریح شد، بر پرسش پژوهش استوار است نه فرضیه از پیش تعیین‌شده — تحلیل و جمع‌بندی می‌شوند.</w:t>
      </w:r>
    </w:p>
    <w:p w14:paraId="4F8F2793" w14:textId="77777777" w:rsidR="00E94CEF" w:rsidRDefault="00153DD1">
      <w:pPr>
        <w:bidi/>
        <w:spacing w:after="80"/>
        <w:jc w:val="lowKashida"/>
      </w:pPr>
      <w:r>
        <w:rPr>
          <w:rtl/>
        </w:rPr>
        <w:t>سرتیترهای این فصل به ترتیب عبارت‌اند از: تجزیه و تحلیل داده‌ها (۴-۲)، شامل تجزیه و تحلیل داده</w:t>
      </w:r>
      <w:r>
        <w:rPr>
          <w:rtl/>
        </w:rPr>
        <w:t>‌های آمار توصیفی (۴-۲-۱)، تجزیه و تحلیل داده‌های آمار استنباطی (۴-۲-۲) و بررسی پرسش‌های پژوهش (۴-۲-۳)؛ و در پایان، جمع‌بندی فصل (۴-۳).</w:t>
      </w:r>
    </w:p>
    <w:p w14:paraId="41EE0CFE" w14:textId="77777777" w:rsidR="00E94CEF" w:rsidRDefault="00153DD1">
      <w:pPr>
        <w:pStyle w:val="Heading2"/>
        <w:keepNext/>
        <w:bidi/>
        <w:spacing w:before="240" w:after="80"/>
        <w:jc w:val="lowKashida"/>
        <w:rPr>
          <w:sz w:val="32"/>
          <w:szCs w:val="32"/>
        </w:rPr>
      </w:pPr>
      <w:r>
        <w:rPr>
          <w:sz w:val="32"/>
          <w:szCs w:val="32"/>
        </w:rPr>
        <w:t>۴-۲ تجزیه و تحلیل داده‌ها</w:t>
      </w:r>
    </w:p>
    <w:p w14:paraId="647536E6" w14:textId="77777777" w:rsidR="00E94CEF" w:rsidRDefault="00153DD1">
      <w:pPr>
        <w:bidi/>
        <w:spacing w:after="80"/>
        <w:jc w:val="lowKashida"/>
      </w:pPr>
      <w:r>
        <w:rPr>
          <w:rtl/>
        </w:rPr>
        <w:t>داده‌های این پژوهش در دو سطح تحلیل می‌شوند: نخست در سطح توصیفی، برای شناخت ترکیب پانل و ویژگی‌ه</w:t>
      </w:r>
      <w:r>
        <w:rPr>
          <w:rtl/>
        </w:rPr>
        <w:t>ای کلی پاسخ‌های هر دور؛ و دوم در سطح استنباطی، برای سنجش معناداری آماری اجماع حاصل‌شده میان دورهای متوالی دلفی. در پایان، یافته‌های هر دو سطح برای پاسخ به پرسش‌های پژوهش ترکیب می‌شوند.</w:t>
      </w:r>
    </w:p>
    <w:p w14:paraId="7FC81275" w14:textId="77777777" w:rsidR="00E94CEF" w:rsidRDefault="00153DD1">
      <w:pPr>
        <w:pStyle w:val="Heading3"/>
        <w:keepNext/>
        <w:bidi/>
        <w:spacing w:before="180" w:after="80"/>
        <w:jc w:val="lowKashida"/>
      </w:pPr>
      <w:r>
        <w:t>۴-۲-۱ تجزیه و تحلیل داده‌های آمار توصیفی</w:t>
      </w:r>
    </w:p>
    <w:p w14:paraId="39790AD7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این بخش در دو قسمت سازمان‌دهی </w:t>
      </w:r>
      <w:r>
        <w:rPr>
          <w:rtl/>
        </w:rPr>
        <w:t>شده است: نخست، توصیف ترکیب جمعیت‌شناختی پانل خبرگان؛ و دوم، توصیف آماری خروجی هر یک از دورهای دلفی.</w:t>
      </w:r>
    </w:p>
    <w:p w14:paraId="73A1A927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۴-۲-۱-۱ ترکیب نمونه پژوهش</w:t>
      </w:r>
    </w:p>
    <w:p w14:paraId="1BE32F36" w14:textId="77777777" w:rsidR="00E94CEF" w:rsidRDefault="00153DD1">
      <w:pPr>
        <w:bidi/>
        <w:spacing w:after="80"/>
        <w:jc w:val="lowKashida"/>
      </w:pPr>
      <w:r>
        <w:rPr>
          <w:rtl/>
        </w:rPr>
        <w:t>جدول ۴-۱ ترکیب پانل پژوهش را از چهار منظر جایگاه شغلی، سطح تحصیلات، سابقه فعالیت و نوع محصول شرکت محل فعالیت نشان می‌دهد. این جدول</w:t>
      </w:r>
      <w:r>
        <w:rPr>
          <w:rtl/>
        </w:rPr>
        <w:t xml:space="preserve">، که در فصل سوم (بخش ۳-۴-۲) به آن اشاره شد، بر اساس </w:t>
      </w:r>
      <w:r>
        <w:rPr>
          <w:rtl/>
        </w:rPr>
        <w:lastRenderedPageBreak/>
        <w:t>تصمیم استاد راهنما به این فصل منتقل شده است، زیرا ترکیب واقعی نمونه بخشی از یافته‌های پژوهش به شمار می‌رود، نه بخشی از روش‌شناسی.</w:t>
      </w:r>
    </w:p>
    <w:p w14:paraId="7596EFC6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>جدول ۴-۱ ترکیب نمونه پژوهش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588"/>
      </w:tblGrid>
      <w:tr w:rsidR="00E94CEF" w14:paraId="37CA01AA" w14:textId="77777777">
        <w:trPr>
          <w:tblHeader/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7971DF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منظر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24410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ترکیب</w:t>
            </w:r>
          </w:p>
        </w:tc>
      </w:tr>
      <w:tr w:rsidR="00E94CEF" w14:paraId="42DD0BC8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EA72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جایگاه شغلی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7F8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یک عضو هیئت علمی، دو مدیر فروش، سه کارشناس فروش، یک کارشناس برنامه‌ریزی تولید</w:t>
            </w:r>
          </w:p>
        </w:tc>
      </w:tr>
      <w:tr w:rsidR="00E94CEF" w14:paraId="466EE070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9BD0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سطح تحصیلات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60A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سه دکترا، یک کارشناسی ارشد، یک کارشناسی، دو دیپلم</w:t>
            </w:r>
          </w:p>
        </w:tc>
      </w:tr>
      <w:tr w:rsidR="00E94CEF" w14:paraId="6A60D21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503B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سابقه فعالیت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CC4A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پنج تا بیست سال؛ میانگین نزدیک به دوازده سال</w:t>
            </w:r>
          </w:p>
        </w:tc>
      </w:tr>
      <w:tr w:rsidR="00E94CEF" w14:paraId="57209E7D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9C37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نوع محصول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D25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فرآورده‌های لبنی، کره، حلوا ارده (برای سه نفر، نوع محصول در فرم </w:t>
            </w:r>
            <w:r>
              <w:rPr>
                <w:sz w:val="22"/>
                <w:szCs w:val="22"/>
                <w:rtl/>
              </w:rPr>
              <w:t>ثبت نشده است)</w:t>
            </w:r>
          </w:p>
        </w:tc>
      </w:tr>
    </w:tbl>
    <w:p w14:paraId="196CF9E7" w14:textId="77777777" w:rsidR="00E94CEF" w:rsidRDefault="00E94CEF">
      <w:pPr>
        <w:bidi/>
        <w:jc w:val="lowKashida"/>
      </w:pPr>
    </w:p>
    <w:p w14:paraId="35B0A018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۴-۲-۱-۲ توزیع فراوانی متغیرهای جمعیت‌شناختی پانل</w:t>
      </w:r>
    </w:p>
    <w:p w14:paraId="53FA8033" w14:textId="77777777" w:rsidR="00E94CEF" w:rsidRDefault="00153DD1">
      <w:pPr>
        <w:bidi/>
        <w:spacing w:after="80"/>
        <w:jc w:val="lowKashida"/>
      </w:pPr>
      <w:r>
        <w:rPr>
          <w:rtl/>
        </w:rPr>
        <w:t>به درخواست استاد راهنما، علاوه بر جدول تلفیقی ۴-۱، توزیع هر یک از متغیرهای جمعیت‌شناختی پانل به‌طور جداگانه، همراه با نمودار مربوط به آن، در جدول‌های ۴-۲ تا ۴-۵ ارائه</w:t>
      </w:r>
      <w:r>
        <w:rPr>
          <w:rtl/>
        </w:rPr>
        <w:t xml:space="preserve"> شده است.</w:t>
      </w:r>
    </w:p>
    <w:p w14:paraId="4C15094E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>جدول ۴-۲ توزیع جایگاه شغلی اعضای پانل خبرگان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2200"/>
        <w:gridCol w:w="2088"/>
      </w:tblGrid>
      <w:tr w:rsidR="00E94CEF" w14:paraId="43CEA25E" w14:textId="77777777">
        <w:trPr>
          <w:tblHeader/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2DAF0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60EB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جایگاه شغلی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F610B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فراوانی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F50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13CB9C4A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D5F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8ABE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عضو هیئت علمی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71C0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AF5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1848F948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7914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C6AA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مدیر فروش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4E5D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E43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48A97E45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FEB9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DCEA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کارشناس فروش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EC65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0C15B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7AD9C074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DFBD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93AB6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کارشناس برنامه‌ریزی تولید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23FD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CFB8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5C421B13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9299D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E2F1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جمع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9B5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20B2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۱۰۰٪</w:t>
            </w:r>
          </w:p>
        </w:tc>
      </w:tr>
    </w:tbl>
    <w:p w14:paraId="6F158E54" w14:textId="77777777" w:rsidR="00E94CEF" w:rsidRDefault="00E94CEF">
      <w:pPr>
        <w:bidi/>
        <w:jc w:val="lowKashida"/>
      </w:pPr>
    </w:p>
    <w:p w14:paraId="50A9961E" w14:textId="77777777" w:rsidR="00E94CEF" w:rsidRDefault="00153DD1">
      <w:pPr>
        <w:keepNext/>
        <w:keepLines/>
        <w:bidi/>
        <w:spacing w:before="60" w:after="120" w:line="240" w:lineRule="auto"/>
        <w:jc w:val="center"/>
      </w:pPr>
      <w:r>
        <w:rPr>
          <w:noProof/>
        </w:rPr>
        <w:drawing>
          <wp:inline distT="0" distB="0" distL="0" distR="0">
            <wp:extent cx="5486400" cy="2926080"/>
            <wp:effectExtent l="0" t="0" r="0" b="0"/>
            <wp:docPr id="1" name="نمودار ۴-۱" descr="نمودار دایره‌ای توزیع جایگاه شغلی اعضای پانل خبرگان: عضو هیئت علمی ۱ نفر (۱۴٫۳٪)، مدیر فروش ۲ نفر (۲۸٫۶٪)، کارشناس فروش ۳ نفر (۴۲٫۹٪)، کارشناس برنامه‌ریزی تولید ۱ نفر (۱۴٫۳٪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4F782ED6" w14:textId="77777777" w:rsidR="00E94CEF" w:rsidRDefault="00153DD1">
      <w:pPr>
        <w:pStyle w:val="FigureCaption"/>
        <w:spacing w:before="80" w:after="160"/>
        <w:jc w:val="center"/>
      </w:pPr>
      <w:r>
        <w:t xml:space="preserve">نمودار ۴-۱ نمودار </w:t>
      </w:r>
      <w:r>
        <w:t>دایره‌ای توزیع جایگاه شغلی اعضای پانل خبرگان</w:t>
      </w:r>
      <w:r>
        <w:t xml:space="preserve"> (منبع: یافته‌های پژوهش)</w:t>
      </w:r>
    </w:p>
    <w:p w14:paraId="14F0D697" w14:textId="77777777" w:rsidR="00E94CEF" w:rsidRDefault="00E94CEF">
      <w:pPr>
        <w:bidi/>
        <w:jc w:val="lowKashida"/>
      </w:pPr>
    </w:p>
    <w:p w14:paraId="76652296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lastRenderedPageBreak/>
        <w:t>جدول ۴-۳ توزیع سطح تحصیلات اعضای پانل خبرگان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2200"/>
        <w:gridCol w:w="2088"/>
      </w:tblGrid>
      <w:tr w:rsidR="00E94CEF" w14:paraId="1F25609A" w14:textId="77777777">
        <w:trPr>
          <w:tblHeader/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CDC7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374F6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سطح تحصیلات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ADB23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فراوانی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5720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2A0B1155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7A9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AA7C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دکترا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42F95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3A70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28C4DDA0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4AB4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C25A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کارشناسی ارشد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E37F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6AC1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44C8C289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712D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AF2D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کارشناسی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3CE9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8790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466E4D1A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BE1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F378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دیپلم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960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6350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7DD1E3FA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0B152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F463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جمع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5AB5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6BBA2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۱۰۰٪</w:t>
            </w:r>
          </w:p>
        </w:tc>
      </w:tr>
    </w:tbl>
    <w:p w14:paraId="7823DE49" w14:textId="77777777" w:rsidR="00E94CEF" w:rsidRDefault="00E94CEF">
      <w:pPr>
        <w:bidi/>
        <w:jc w:val="lowKashida"/>
      </w:pPr>
    </w:p>
    <w:p w14:paraId="717710E5" w14:textId="77777777" w:rsidR="00E94CEF" w:rsidRDefault="00153DD1">
      <w:pPr>
        <w:keepNext/>
        <w:keepLines/>
        <w:bidi/>
        <w:spacing w:before="60" w:after="120" w:line="240" w:lineRule="auto"/>
        <w:jc w:val="center"/>
      </w:pPr>
      <w:r>
        <w:rPr>
          <w:noProof/>
        </w:rPr>
        <w:drawing>
          <wp:inline distT="0" distB="0" distL="0" distR="0">
            <wp:extent cx="5486400" cy="2926080"/>
            <wp:effectExtent l="0" t="0" r="0" b="0"/>
            <wp:docPr id="2" name="نمودار ۴-۲" descr="نمودار دایره‌ای توزیع سطح تحصیلات اعضای پانل خبرگان: دکترا ۳ نفر (۴۲٫۹٪)، کارشناسی ارشد ۱ نفر (۱۴٫۳٪)، کارشناسی ۱ نفر (۱۴٫۳٪)، دیپلم ۲ نفر (۲۸٫۶٪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6F7EE07D" w14:textId="77777777" w:rsidR="00E94CEF" w:rsidRDefault="00153DD1">
      <w:pPr>
        <w:pStyle w:val="FigureCaption"/>
        <w:spacing w:before="80" w:after="160"/>
        <w:jc w:val="center"/>
      </w:pPr>
      <w:r>
        <w:t>نمودار ۴-۲ نمودار دایره‌ای توزیع سطح تحصیلات اعضای پانل خبرگان</w:t>
      </w:r>
      <w:r>
        <w:t xml:space="preserve"> (منبع: یافته‌های پژوهش)</w:t>
      </w:r>
    </w:p>
    <w:p w14:paraId="7FD01A32" w14:textId="77777777" w:rsidR="00E94CEF" w:rsidRDefault="00E94CEF">
      <w:pPr>
        <w:bidi/>
        <w:jc w:val="lowKashida"/>
      </w:pPr>
    </w:p>
    <w:p w14:paraId="6D89FDDA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>جدول ۴-۴ توزیع سابقه فعالیت اعضای پانل خبرگان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2200"/>
        <w:gridCol w:w="2088"/>
      </w:tblGrid>
      <w:tr w:rsidR="00E94CEF" w14:paraId="424CB6C3" w14:textId="77777777">
        <w:trPr>
          <w:tblHeader/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DC809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3F00F1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سابقه فعالیت (سال)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40BB3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فراوانی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185F4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6265A90D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C2E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0F8A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کمتر از ۵ سال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F3CA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37091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۰٪</w:t>
            </w:r>
          </w:p>
        </w:tc>
      </w:tr>
      <w:tr w:rsidR="00E94CEF" w14:paraId="7D0D3FFF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339C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D64C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 تا ۱۰ سال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F46E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029B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۵۷٫۱٪</w:t>
            </w:r>
          </w:p>
        </w:tc>
      </w:tr>
      <w:tr w:rsidR="00E94CEF" w14:paraId="291939B9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D16C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F443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۱۱ تا ۲۰ سال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95BE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BEA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74D3251A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8452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0AB1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بیش از ۲۰ سال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FD88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3CB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۰٪</w:t>
            </w:r>
          </w:p>
        </w:tc>
      </w:tr>
      <w:tr w:rsidR="00E94CEF" w14:paraId="0004CC33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346C3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E8B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جمع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9524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9BB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۱۰۰٪</w:t>
            </w:r>
          </w:p>
        </w:tc>
      </w:tr>
    </w:tbl>
    <w:p w14:paraId="531A83E3" w14:textId="77777777" w:rsidR="00E94CEF" w:rsidRDefault="00E94CEF">
      <w:pPr>
        <w:bidi/>
        <w:jc w:val="lowKashida"/>
      </w:pPr>
    </w:p>
    <w:p w14:paraId="066B7AAF" w14:textId="77777777" w:rsidR="00E94CEF" w:rsidRDefault="00153DD1">
      <w:pPr>
        <w:keepNext/>
        <w:keepLines/>
        <w:bidi/>
        <w:spacing w:before="60" w:after="120" w:line="240" w:lineRule="auto"/>
        <w:jc w:val="center"/>
      </w:pPr>
      <w:r>
        <w:rPr>
          <w:noProof/>
        </w:rPr>
        <w:drawing>
          <wp:inline distT="0" distB="0" distL="0" distR="0">
            <wp:extent cx="5486400" cy="2926080"/>
            <wp:effectExtent l="0" t="0" r="0" b="0"/>
            <wp:docPr id="3" name="نمودار ۴-۳" descr="نمودار دایره‌ای توزیع سابقه فعالیت اعضای پانل خبرگان: کمتر از ۵ سال ۰ نفر (۰٪)، ‏۵ تا ۱۰ سال ۴ نفر (۵۷٫۱٪)، ‏۱۱ تا ۲۰ سال ۳ نفر (۴۲٫۹٪)، بیش از ۲۰ سال ۰ نفر (۰٪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014D1D58" w14:textId="77777777" w:rsidR="00E94CEF" w:rsidRDefault="00153DD1">
      <w:pPr>
        <w:pStyle w:val="FigureCaption"/>
        <w:spacing w:before="80" w:after="160"/>
        <w:jc w:val="center"/>
      </w:pPr>
      <w:r>
        <w:t>نمودار ۴-۳ نمودار دایره‌ای توزیع سابقه فعالیت اعضای پانل خبرگان</w:t>
      </w:r>
      <w:r>
        <w:t xml:space="preserve"> (منبع: یافته‌های پژوهش)</w:t>
      </w:r>
    </w:p>
    <w:p w14:paraId="644E4A83" w14:textId="77777777" w:rsidR="00E94CEF" w:rsidRDefault="00E94CEF">
      <w:pPr>
        <w:bidi/>
        <w:jc w:val="lowKashida"/>
      </w:pPr>
    </w:p>
    <w:p w14:paraId="2A8D7F1B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lastRenderedPageBreak/>
        <w:t>جدول ۴-۵ توزیع نوع محصول شرکت محل فعالیت اعضای پانل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2200"/>
        <w:gridCol w:w="2088"/>
      </w:tblGrid>
      <w:tr w:rsidR="00E94CEF" w14:paraId="3EB69568" w14:textId="77777777">
        <w:trPr>
          <w:tblHeader/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1FE8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E8B70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نوع محصول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80DF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فراوانی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CCB77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1D951D55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8E965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296B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فرآورده‌های لبنی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1EC8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ACD5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6154D22E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93197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6124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کره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6F77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1793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267E72FC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0115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52BC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حلوا ارده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CC1C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3361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2149AD26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DFF9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3401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ثبت‌نشده / سایر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E6BF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1237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51317DF1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45177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600B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جمع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67F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2E6E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۱۰۰٪</w:t>
            </w:r>
          </w:p>
        </w:tc>
      </w:tr>
    </w:tbl>
    <w:p w14:paraId="72B965B5" w14:textId="77777777" w:rsidR="00E94CEF" w:rsidRDefault="00E94CEF">
      <w:pPr>
        <w:bidi/>
        <w:jc w:val="lowKashida"/>
      </w:pPr>
    </w:p>
    <w:p w14:paraId="73B35BD1" w14:textId="77777777" w:rsidR="00E94CEF" w:rsidRDefault="00153DD1">
      <w:pPr>
        <w:keepNext/>
        <w:keepLines/>
        <w:bidi/>
        <w:spacing w:before="60" w:after="120" w:line="240" w:lineRule="auto"/>
        <w:jc w:val="center"/>
      </w:pPr>
      <w:r>
        <w:rPr>
          <w:noProof/>
        </w:rPr>
        <w:drawing>
          <wp:inline distT="0" distB="0" distL="0" distR="0">
            <wp:extent cx="5486400" cy="2926080"/>
            <wp:effectExtent l="0" t="0" r="0" b="0"/>
            <wp:docPr id="4" name="نمودار ۴-۴" descr="نمودار دایره‌ای توزیع نوع محصول شرکت محل فعالیت اعضای پانل: فرآورده‌های لبنی ۱ نفر (۱۴٫۳٪)، کره ۲ نفر (۲۸٫۶٪)، حلوا ارده ۱ نفر (۱۴٫۳٪)، ثبت‌نشده / سایر ۳ نفر (۴۲٫۹٪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39AE6DB4" w14:textId="77777777" w:rsidR="00E94CEF" w:rsidRDefault="00153DD1">
      <w:pPr>
        <w:pStyle w:val="FigureCaption"/>
        <w:spacing w:before="80" w:after="160"/>
        <w:jc w:val="center"/>
      </w:pPr>
      <w:r>
        <w:t>نمودار ۴-۴ نمودار دایره‌ای توزیع نوع محصول شرکت محل فعالیت اعضای پانل</w:t>
      </w:r>
      <w:r>
        <w:t xml:space="preserve"> (منبع: یافته‌های پژوهش)</w:t>
      </w:r>
    </w:p>
    <w:p w14:paraId="42D6616E" w14:textId="77777777" w:rsidR="00E94CEF" w:rsidRDefault="00E94CEF">
      <w:pPr>
        <w:bidi/>
        <w:jc w:val="lowKashida"/>
      </w:pPr>
    </w:p>
    <w:p w14:paraId="35648038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۴-۲-۱-۳ آمار توصیفی پاسخ‌های دور نخست</w:t>
      </w:r>
    </w:p>
    <w:p w14:paraId="6B97B437" w14:textId="77777777" w:rsidR="00E94CEF" w:rsidRDefault="00153DD1">
      <w:pPr>
        <w:bidi/>
        <w:spacing w:after="80"/>
        <w:jc w:val="lowKashida"/>
      </w:pPr>
      <w:r>
        <w:rPr>
          <w:rtl/>
        </w:rPr>
        <w:t>پاسخ‌های باز دور نخست پانل با روش تحلیل مضمون براون و کلارک (۲۰۲۱)</w:t>
      </w:r>
      <w:r>
        <w:rPr>
          <w:rStyle w:val="FootnoteReference"/>
        </w:rPr>
        <w:footnoteReference w:id="1"/>
      </w:r>
      <w:r>
        <w:rPr>
          <w:rtl/>
        </w:rPr>
        <w:t xml:space="preserve"> و بر پایه فرایند کدگذاری پنج‌مرحله‌ای بینگهام (۲۰۲۳)</w:t>
      </w:r>
      <w:r>
        <w:rPr>
          <w:rStyle w:val="FootnoteReference"/>
        </w:rPr>
        <w:footnoteReference w:id="2"/>
      </w:r>
      <w:r>
        <w:rPr>
          <w:rtl/>
        </w:rPr>
        <w:t xml:space="preserve"> کدگذاری شدند (شرح کامل این فرایند در بخش ۳-۷-۱ ارائه شده است). این کدگذاری به شناسایی بیست‌ونه گویه در قالب نُه مؤلفه اصلی انجامید؛ </w:t>
      </w:r>
      <w:r>
        <w:rPr>
          <w:rtl/>
        </w:rPr>
        <w:t>پنج مؤلفه در دسته چالش‌های درون‌سازمانی و چهار مؤلفه در دسته چالش‌های برون‌سازمانی و محیطی. جدول ۴-۶ فهرست کامل این گویه‌ها را به تفکیک مؤلفه، به همراه کد اعضای پانل که به هر گویه اشاره کرده‌اند، نشان می‌دهد.</w:t>
      </w:r>
    </w:p>
    <w:p w14:paraId="46D201E2" w14:textId="77777777" w:rsidR="00E94CEF" w:rsidRDefault="00153DD1">
      <w:pPr>
        <w:bidi/>
        <w:spacing w:after="80"/>
        <w:jc w:val="lowKashida"/>
      </w:pPr>
      <w:r>
        <w:rPr>
          <w:i/>
          <w:iCs/>
          <w:rtl/>
        </w:rPr>
        <w:t>[کدهای خ۱ تا خ۷ به ترتیب مطابق جدول ۴-۱ به اعضا</w:t>
      </w:r>
      <w:r>
        <w:rPr>
          <w:i/>
          <w:iCs/>
          <w:rtl/>
        </w:rPr>
        <w:t>ی پانل اشاره دارند.]</w:t>
      </w:r>
    </w:p>
    <w:p w14:paraId="019F182B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lastRenderedPageBreak/>
        <w:t>جدول ۴-۶ گویه‌های استخراج‌شده از دور نخست به تفکیک مؤلفه و اعضای اشاره‌کننده</w:t>
      </w:r>
      <w:r>
        <w:t xml:space="preserve"> (منبع: یافته‌های پژوهش)</w:t>
      </w:r>
    </w:p>
    <w:tbl>
      <w:tblPr>
        <w:bidiVisual/>
        <w:tblW w:w="8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"/>
        <w:gridCol w:w="2377"/>
        <w:gridCol w:w="3559"/>
        <w:gridCol w:w="1775"/>
      </w:tblGrid>
      <w:tr w:rsidR="00E94CEF" w14:paraId="2F13DA5E" w14:textId="77777777">
        <w:trPr>
          <w:tblHeader/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ECDA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4B465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مؤلفه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9707E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گویه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D578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اعضای اشاره‌کننده</w:t>
            </w:r>
          </w:p>
        </w:tc>
      </w:tr>
      <w:tr w:rsidR="00E94CEF" w14:paraId="2FD9F130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D197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6075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آسیب‌پذیری ساختاری ناشی از تمرکز بر محصول واحد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3DDF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کامل درآمد و سودآوری شرکت به تقاضای یک محصول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7D66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</w:t>
            </w:r>
          </w:p>
        </w:tc>
      </w:tr>
      <w:tr w:rsidR="00E94CEF" w14:paraId="23359DDD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67B4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43F84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F573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امکان جبران افت فروش از محل سایر اقلام سبد محصول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D6E8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خ۳، خ۴</w:t>
            </w:r>
          </w:p>
        </w:tc>
      </w:tr>
      <w:tr w:rsidR="00E94CEF" w14:paraId="70C7BB5B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5EDF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61B68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62AF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کاهش انعطاف‌پذیری و کندی واکنش شرکت به تغییرات بازار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C0D5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خ۴، خ۵</w:t>
            </w:r>
          </w:p>
        </w:tc>
      </w:tr>
      <w:tr w:rsidR="00E94CEF" w14:paraId="5B6E4EE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B97A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5DCC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برندسازی و دشواری تمایز محصول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3827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برندسازی و تبلیغات و کمرنگ بودن جایگاه برند در ذهن مشتری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81678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خ۳، خ۵</w:t>
            </w:r>
          </w:p>
        </w:tc>
      </w:tr>
      <w:tr w:rsidR="00E94CEF" w14:paraId="20F84F9A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0D7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EAF38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EB4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ایجاد تمایز نسبت به محصولات رقیب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621C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</w:t>
            </w:r>
          </w:p>
        </w:tc>
      </w:tr>
      <w:tr w:rsidR="00E94CEF" w14:paraId="45380B1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27A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3D36C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32C0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نوآوری و توسعه محصول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67EB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خ۵</w:t>
            </w:r>
          </w:p>
        </w:tc>
      </w:tr>
      <w:tr w:rsidR="00E94CEF" w14:paraId="46A3666A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F798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62501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B685F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کم‌توجهی به تحقیقات بازار و مطالعه رفتار مصرف‌کننده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DE5B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</w:t>
            </w:r>
          </w:p>
        </w:tc>
      </w:tr>
      <w:tr w:rsidR="00E94CEF" w14:paraId="6FCF7E50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CD9C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BAF5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و حفظ مشتری و وفاداری پایین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63573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مشتری جدید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6413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خ۳، خ۴</w:t>
            </w:r>
          </w:p>
        </w:tc>
      </w:tr>
      <w:tr w:rsidR="00E94CEF" w14:paraId="6E57278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DC5E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D7500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E4B2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وفاداری پایین مشتری به شرکت </w:t>
            </w:r>
            <w:r>
              <w:rPr>
                <w:sz w:val="22"/>
                <w:szCs w:val="22"/>
                <w:rtl/>
              </w:rPr>
              <w:t>تک‌محصولی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F6C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</w:t>
            </w:r>
          </w:p>
        </w:tc>
      </w:tr>
      <w:tr w:rsidR="00E94CEF" w14:paraId="746BDD0E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47F6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9252D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4327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پیشنهاد تازه برای حفظ و فعال‌سازی مجدد مشتریان فعلی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1210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</w:t>
            </w:r>
          </w:p>
        </w:tc>
      </w:tr>
      <w:tr w:rsidR="00E94CEF" w14:paraId="708DBF7B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C5D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۱۱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A4BA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برنامه‌ریزی، پیش‌بینی و مدیریت فروش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6468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پیش‌بینی دقیق تقاضای بازار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B72B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خ۶</w:t>
            </w:r>
          </w:p>
        </w:tc>
      </w:tr>
      <w:tr w:rsidR="00E94CEF" w14:paraId="0BC38F89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7D76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1079A5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76AE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 و مدیریت موجودی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C45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خ۶</w:t>
            </w:r>
          </w:p>
        </w:tc>
      </w:tr>
      <w:tr w:rsidR="00E94CEF" w14:paraId="23A5997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6626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C5C0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62E7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نظام برنامه‌ریزی و </w:t>
            </w:r>
            <w:r>
              <w:rPr>
                <w:sz w:val="22"/>
                <w:szCs w:val="22"/>
                <w:rtl/>
              </w:rPr>
              <w:t>اطلاعات فروش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266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خ۶</w:t>
            </w:r>
          </w:p>
        </w:tc>
      </w:tr>
      <w:tr w:rsidR="00E94CEF" w14:paraId="437AB051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E60F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A0C84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EED4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محدودیت منابع مالی برای توزیع و ترویج محصول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2C2D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خ۶</w:t>
            </w:r>
          </w:p>
        </w:tc>
      </w:tr>
      <w:tr w:rsidR="00E94CEF" w14:paraId="2ED408FA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ADBF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519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ناکارآمدی و هزینه‌بری شبکه توزیع و فروش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67E8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هزینه بالای پخش و توزیع به ازای یک قلم کالا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09F1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خ۳، خ۵، خ۷</w:t>
            </w:r>
          </w:p>
        </w:tc>
      </w:tr>
      <w:tr w:rsidR="00E94CEF" w14:paraId="7FAB0D0E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92D9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۱۶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61035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896B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کوچک بودن شبکه فروش و پوشش محدود بازار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C00E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خ۵</w:t>
            </w:r>
          </w:p>
        </w:tc>
      </w:tr>
      <w:tr w:rsidR="00E94CEF" w14:paraId="70ACC13D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0D74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lastRenderedPageBreak/>
              <w:t>۱۷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0CA0A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3C1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چانه‌زنی در برابر شبکه </w:t>
            </w:r>
            <w:r>
              <w:rPr>
                <w:sz w:val="22"/>
                <w:szCs w:val="22"/>
                <w:rtl/>
              </w:rPr>
              <w:t>توزیع و خرده‌فروشی چندمحصولی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EF86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</w:t>
            </w:r>
          </w:p>
        </w:tc>
      </w:tr>
      <w:tr w:rsidR="00E94CEF" w14:paraId="6C3B928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E2C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9081B6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CE58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به تعداد محدودی مشتری یا کانال فروش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8D5D2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</w:t>
            </w:r>
          </w:p>
        </w:tc>
      </w:tr>
      <w:tr w:rsidR="00E94CEF" w14:paraId="298C5E8E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164C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47D1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شدت رقابت و فشار قیمتی بازار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0924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ورود رقبای جدید و افزایش شدت رقابت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E9B33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خ۳، خ۶</w:t>
            </w:r>
          </w:p>
        </w:tc>
      </w:tr>
      <w:tr w:rsidR="00E94CEF" w14:paraId="0B5D137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43B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6650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CFD6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حضور محصولات جایگزین و برندهای رقیب دارای سبد متنوع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239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</w:t>
            </w:r>
          </w:p>
        </w:tc>
      </w:tr>
      <w:tr w:rsidR="00E94CEF" w14:paraId="59CAFF14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9E6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۲۱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739F2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6F94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رقابت </w:t>
            </w:r>
            <w:r>
              <w:rPr>
                <w:sz w:val="22"/>
                <w:szCs w:val="22"/>
                <w:rtl/>
              </w:rPr>
              <w:t>قیمتی و نوسان قیمت رقبا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585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خ۳، خ۴، خ۶</w:t>
            </w:r>
          </w:p>
        </w:tc>
      </w:tr>
      <w:tr w:rsidR="00E94CEF" w14:paraId="6BB9D8BC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8937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EC1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ذائقه مصرف‌کننده و محدودیت بازار هدف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3FAF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سریع ذائقه و ترجیحات مصرف‌کننده در گذر زمان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AF7F7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خ۳، خ۶</w:t>
            </w:r>
          </w:p>
        </w:tc>
      </w:tr>
      <w:tr w:rsidR="00E94CEF" w14:paraId="17BE3A8C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A2B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A975B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4D27D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محدود بودن بازار هدف به یک گروه خاص از مشتریان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F57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خ۳، خ۴</w:t>
            </w:r>
          </w:p>
        </w:tc>
      </w:tr>
      <w:tr w:rsidR="00E94CEF" w14:paraId="1CB53559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D1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B57F2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B60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افت ناگهانی تقاضا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A1A7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</w:t>
            </w:r>
          </w:p>
        </w:tc>
      </w:tr>
      <w:tr w:rsidR="00E94CEF" w14:paraId="0C6C6A61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CC582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5E61D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ناپایداری تأمین و نوسان بهای مواد اولیه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CBCF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نوسان و کمبود در تأمین مواد اولیه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92DB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خ۴، خ۷</w:t>
            </w:r>
          </w:p>
        </w:tc>
      </w:tr>
      <w:tr w:rsidR="00E94CEF" w14:paraId="6C42F05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BFF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۲۶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721F4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E6DB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تأمین به واردات و اثر تحریم و محدودیت‌های اقتصادی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3409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خ۴</w:t>
            </w:r>
          </w:p>
        </w:tc>
      </w:tr>
      <w:tr w:rsidR="00E94CEF" w14:paraId="5094C00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C59D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۲۷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F1AD0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4A6F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ناپیوستگی عرضه و کسری محصول در بازار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6CA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خ۴، خ۷</w:t>
            </w:r>
          </w:p>
        </w:tc>
      </w:tr>
      <w:tr w:rsidR="00E94CEF" w14:paraId="2E024757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8CD2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312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فشارهای اقتصاد کلان و کاهش قدرت خرید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9C7B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افزایش بهای تمام‌شده و فشار بر حاشیه سود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E893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خ۳، خ۴، خ۷</w:t>
            </w:r>
          </w:p>
        </w:tc>
      </w:tr>
      <w:tr w:rsidR="00E94CEF" w14:paraId="43FD3512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797F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DC3E3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0972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کاهش قدرت خرید و مشکلات اقتصادی مصرف‌کننده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4B6F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خ۴</w:t>
            </w:r>
          </w:p>
        </w:tc>
      </w:tr>
    </w:tbl>
    <w:p w14:paraId="63E9C49C" w14:textId="77777777" w:rsidR="00E94CEF" w:rsidRDefault="00E94CEF">
      <w:pPr>
        <w:bidi/>
        <w:jc w:val="lowKashida"/>
      </w:pPr>
    </w:p>
    <w:p w14:paraId="1F3805D4" w14:textId="77777777" w:rsidR="00E94CEF" w:rsidRDefault="00153DD1">
      <w:pPr>
        <w:bidi/>
        <w:spacing w:after="80"/>
        <w:jc w:val="lowKashida"/>
      </w:pPr>
      <w:r>
        <w:rPr>
          <w:rtl/>
        </w:rPr>
        <w:t>جدول ۴-۷ شمار گویه‌های هر مؤلفه و شمار اعضای پانل را که دست‌کم به یکی از گویه‌های آن مؤلفه اشاره کرده‌اند، نشان می‌دهد.</w:t>
      </w:r>
    </w:p>
    <w:p w14:paraId="43445EC5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lastRenderedPageBreak/>
        <w:t>جدول ۴-۷ شمار گویه‌ها و گستره اشاره اعضا به هر مؤلفه</w:t>
      </w:r>
      <w:r>
        <w:t xml:space="preserve"> (منبع: یافته‌های پژوهش)</w:t>
      </w:r>
    </w:p>
    <w:tbl>
      <w:tblPr>
        <w:bidiVisual/>
        <w:tblW w:w="8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"/>
        <w:gridCol w:w="2864"/>
        <w:gridCol w:w="1589"/>
        <w:gridCol w:w="1090"/>
        <w:gridCol w:w="1286"/>
        <w:gridCol w:w="982"/>
      </w:tblGrid>
      <w:tr w:rsidR="00E94CEF" w14:paraId="239BECE8" w14:textId="77777777">
        <w:trPr>
          <w:tblHeader/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493B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3BFC1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مؤلفه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014A6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دسته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4ED5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شمار گویه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2C016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شمار اعضا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AFC16A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5246C5C9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C3B4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9DE3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آسیب‌پذیری ساختاری ناشی از تمرکز بر </w:t>
            </w:r>
            <w:r>
              <w:rPr>
                <w:sz w:val="22"/>
                <w:szCs w:val="22"/>
                <w:rtl/>
              </w:rPr>
              <w:t>محصول واحد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EC74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F22A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1BEF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87A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۷۱٫۴٪</w:t>
            </w:r>
          </w:p>
        </w:tc>
      </w:tr>
      <w:tr w:rsidR="00E94CEF" w14:paraId="31E2BF75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E966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7B98F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برندسازی و دشواری تمایز محصول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A94A5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62D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EC51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EC360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5CC5AD1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7B57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92E1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و حفظ مشتری و وفاداری پایین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48C6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E66B5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0795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ADF4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0E91D03C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E51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9D3A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برنامه‌ریزی، پیش‌بینی و مدیریت فروش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689B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00EA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E09E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E034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58D9E6B2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E3BC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9158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ناکارآمدی و </w:t>
            </w:r>
            <w:r>
              <w:rPr>
                <w:sz w:val="22"/>
                <w:szCs w:val="22"/>
                <w:rtl/>
              </w:rPr>
              <w:t>هزینه‌بری شبکه توزیع و فروش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C48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2532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D58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B96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۵۷٫۱٪</w:t>
            </w:r>
          </w:p>
        </w:tc>
      </w:tr>
      <w:tr w:rsidR="00E94CEF" w14:paraId="6A9076CE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74230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1117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شدت رقابت و فشار قیمتی بازار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B721F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9E317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C289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604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۷۱٫۴٪</w:t>
            </w:r>
          </w:p>
        </w:tc>
      </w:tr>
      <w:tr w:rsidR="00E94CEF" w14:paraId="6C3FCFDB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AB61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7A65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ذائقه مصرف‌کننده و محدودیت بازار هدف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4E3E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799F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96C8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600F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۷۱٫۴٪</w:t>
            </w:r>
          </w:p>
        </w:tc>
      </w:tr>
      <w:tr w:rsidR="00E94CEF" w14:paraId="2A057841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5F36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69C9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ناپایداری تأمین و نوسان بهای مواد اولیه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522A3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A664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1C99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EA67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۵۷٫۱٪</w:t>
            </w:r>
          </w:p>
        </w:tc>
      </w:tr>
      <w:tr w:rsidR="00E94CEF" w14:paraId="4A1BFB8A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318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8E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فشارهای اقتصاد کلان و کاهش قدرت خرید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54A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03B0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520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A5C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۵۷٫۱٪</w:t>
            </w:r>
          </w:p>
        </w:tc>
      </w:tr>
    </w:tbl>
    <w:p w14:paraId="2E8DB83F" w14:textId="77777777" w:rsidR="00E94CEF" w:rsidRDefault="00E94CEF">
      <w:pPr>
        <w:bidi/>
        <w:jc w:val="lowKashida"/>
      </w:pPr>
    </w:p>
    <w:p w14:paraId="36A31385" w14:textId="77777777" w:rsidR="00E94CEF" w:rsidRDefault="00153DD1">
      <w:pPr>
        <w:bidi/>
        <w:spacing w:after="80"/>
        <w:jc w:val="lowKashida"/>
      </w:pPr>
      <w:r>
        <w:rPr>
          <w:rtl/>
        </w:rPr>
        <w:t>بیست‌ونه گویه شناسایی‌شده به‌صورت نامتوازن میان مؤلفه‌ها توزیع شده‌اند؛ مؤلفه‌های ضعف برندسازی، ضعف برنامه‌ریزی فروش و ناکارآمدی شبکه توزیع هر یک چهار گویه دارند، حال آنکه مؤلفه فشارهای اقتصاد کلان تنها دو گویه را در بر می‌گیرد.</w:t>
      </w:r>
    </w:p>
    <w:p w14:paraId="2930A9EA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 xml:space="preserve">۴-۲-۱-۴ آمار توصیفی دورهای </w:t>
      </w:r>
      <w:r>
        <w:t>رتبه‌بندی</w:t>
      </w:r>
    </w:p>
    <w:p w14:paraId="4AF32C41" w14:textId="77777777" w:rsidR="00E94CEF" w:rsidRDefault="00153DD1">
      <w:pPr>
        <w:bidi/>
        <w:spacing w:after="80"/>
        <w:jc w:val="lowKashida"/>
      </w:pPr>
      <w:r>
        <w:rPr>
          <w:rtl/>
        </w:rPr>
        <w:t>در دور دوم و سوم، از هر عضو پانل خواسته می‌شد اهمیت هر گویه را بر پایه طیف پنج‌درجه‌ای رتبه‌بندی کند (شرح کامل این فرایند در بخش ۳-۷-۲ ارائه شده است). هر دو دور با مشارکت کامل هفت عضو پانل اجرا شدند؛ در دور سوم، بازخورد ناشناس دور دوم — شامل امتی</w:t>
      </w:r>
      <w:r>
        <w:rPr>
          <w:rtl/>
        </w:rPr>
        <w:t xml:space="preserve">از خود هر عضو و میانگین و میانه کل پانل به هر گویه — در اختیار اعضا قرار گرفت تا رتبه‌بندی خود را در صورت تمایل بازبینی کنند. جدول ۴-۸ شاخص‌های </w:t>
      </w:r>
      <w:r>
        <w:rPr>
          <w:rtl/>
        </w:rPr>
        <w:lastRenderedPageBreak/>
        <w:t>توصیفی امتیاز اهمیت هر یک از بیست‌ونه گویه را در دور نهایی (سوم) — میانگین، میانه، انحراف معیار و دامنه بین‌چارک</w:t>
      </w:r>
      <w:r>
        <w:rPr>
          <w:rtl/>
        </w:rPr>
        <w:t>ی — نشان می‌دهد. این شاخص‌ها مبنای تحلیل استنباطی بخش ۴-۲-۲ و پاسخ به پرسش‌های پژوهش در بخش ۴-۲-۳ قرار می‌گیرند.</w:t>
      </w:r>
    </w:p>
    <w:p w14:paraId="6DF5A6EE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>جدول ۴-۸ آمار توصیفی امتیاز اهمیت گویه‌ها در دور نهایی (سوم) رتبه‌بندی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073"/>
        <w:gridCol w:w="1210"/>
        <w:gridCol w:w="1210"/>
        <w:gridCol w:w="1396"/>
        <w:gridCol w:w="1199"/>
      </w:tblGrid>
      <w:tr w:rsidR="00E94CEF" w14:paraId="424E37BE" w14:textId="77777777">
        <w:trPr>
          <w:tblHeader/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1F931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9182A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گویه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EF154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میانگین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CEC1F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میانه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B3B7A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انحراف معیار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5857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دامنه بین‌چارکی</w:t>
            </w:r>
          </w:p>
        </w:tc>
      </w:tr>
      <w:tr w:rsidR="00E94CEF" w14:paraId="2526EEF4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D441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B39C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وابستگی کامل </w:t>
            </w:r>
            <w:r>
              <w:rPr>
                <w:sz w:val="22"/>
                <w:szCs w:val="22"/>
                <w:rtl/>
              </w:rPr>
              <w:t>درآمد و سودآوری شرکت به تقاضای یک محصول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412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۴٫۴۳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AEA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A4D0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9C6A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685CB7C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9CAE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9C5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امکان جبران افت فروش از محل سایر اقلام سبد محصول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E7BF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۴٫۴۳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57B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C5D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9D5D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0C1DEF59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302A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9340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کاهش انعطاف‌پذیری و کندی واکنش شرکت به تغییرات بازار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CEF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8FC8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C3AC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6E0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7323670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3EBA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3E94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برندسازی و تبلیغات و کمرنگ بودن جایگاه </w:t>
            </w:r>
            <w:r>
              <w:rPr>
                <w:sz w:val="22"/>
                <w:szCs w:val="22"/>
                <w:rtl/>
              </w:rPr>
              <w:t>برند در ذهن مشتری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8A4C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954BC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96FC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1241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F52B93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4EA3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AE68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ایجاد تمایز نسبت به محصولات رقیب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7D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2EA3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0F766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E190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4340975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8827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2095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نوآوری و توسعه محصول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E11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۳٫۱۴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11CE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DE05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۰٫۳۸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46C6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3FDB02F0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AED9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8FBB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کم‌توجهی به تحقیقات بازار و مطالعه رفتار مصرف‌کننده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E6B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۳٫۱۴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3138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092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۰٫۳۸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5347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37AF29F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C8A2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BDEC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مشتری جدید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DE9A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AA8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787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8ABB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08F2B1C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E90CC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9CA67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وفاداری پایین مشتری به شرکت تک‌محصولی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AA0C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60C8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BF0B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E43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1D614614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9B79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A0B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پیشنهاد تازه برای حفظ و فعال‌سازی مجدد مشتریان فعلی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F4C9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۳٫۴۳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4B35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C8CC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5A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3BE0BF40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A420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۱۱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3314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پیش‌بینی دقیق تقاضای بازار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62F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9695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B03A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07D77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1B51BFA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5D2B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۱۲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28A5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 و مدیریت موجودی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29BE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E3B46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C91F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93DB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59CBAB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1E3D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۱۳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DE90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</w:t>
            </w:r>
            <w:r>
              <w:rPr>
                <w:sz w:val="22"/>
                <w:szCs w:val="22"/>
                <w:rtl/>
              </w:rPr>
              <w:t>نظام برنامه‌ریزی و اطلاعات فروش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E2519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۳٫۱۴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00A3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7467A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۰٫۳۸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82CD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E5A396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3E4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89D5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محدودیت منابع مالی برای توزیع و ترویج محصول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9803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8240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C0CC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2B9A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7E777B3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59F6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۱۵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0EFF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هزینه بالای پخش و توزیع به ازای یک قلم کالا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2CD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۴٫۴۳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3D16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691D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561B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11DBCCB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F0B4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lastRenderedPageBreak/>
              <w:t>۱۶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181D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کوچک بودن شبکه فروش و پوشش محدود بازار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EA1B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DF0E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05DA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6D5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3B3B2BB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9BEB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۱۷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5F60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</w:t>
            </w:r>
            <w:r>
              <w:rPr>
                <w:sz w:val="22"/>
                <w:szCs w:val="22"/>
                <w:rtl/>
              </w:rPr>
              <w:t>چانه‌زنی در برابر شبکه توزیع و خرده‌فروشی چندمحصولی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B4C7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0813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9EE0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C59B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7638B3B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8913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۱۸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B91D9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به تعداد محدودی مشتری یا کانال فروش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00A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042B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B98C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90FCA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1C34D11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407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۱۹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CB29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ورود رقبای جدید و افزایش شدت رقابت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B563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676C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6CBF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8B94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A6DC8A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05B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۲۰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893F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حضور محصولات جایگزین و برندهای رقیب دارای سبد متنوع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07D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C1D8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86A15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918E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99B9E5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8CF3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۲۱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181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رقابت قیمتی و نوسان قیمت رقبا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0283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446A3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B0FA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44D7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3F86438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796C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۲۲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10CB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سریع ذائقه و ترجیحات مصرف‌کننده در گذر زمان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1A4F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۴٫۷۱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190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2036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۰٫۴۹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A6E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</w:t>
            </w:r>
          </w:p>
        </w:tc>
      </w:tr>
      <w:tr w:rsidR="00E94CEF" w14:paraId="5BE183E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A98A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۲۳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ED3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محدود بودن بازار هدف به یک گروه خاص از مشتریان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63CA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۴٫۵۷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1BE3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A2A7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B770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42B5237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4E1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۲۴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AA6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افت ناگهانی تقاضا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7E86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A7BF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1E14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DC765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07D42B1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DA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۲۵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4A25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نوسان و کمبود در </w:t>
            </w:r>
            <w:r>
              <w:rPr>
                <w:sz w:val="22"/>
                <w:szCs w:val="22"/>
                <w:rtl/>
              </w:rPr>
              <w:t>تأمین مواد اولیه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5DC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۴٫۵۷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781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C9D3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9364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231B6D3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50CE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۲۶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C0E8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تأمین به واردات و اثر تحریم و محدودیت‌های اقتصادی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6DF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D39D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0C29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64B1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1449ACA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A029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۲۷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14CD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ناپیوستگی عرضه و کسری محصول در بازار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6EB28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46CC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E69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6528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49D712C9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0B2A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23E1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افزایش بهای تمام‌شده و فشار بر حاشیه سود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472C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55E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5F15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07947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009C8DE1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8918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۲۹</w:t>
            </w:r>
          </w:p>
        </w:tc>
        <w:tc>
          <w:tcPr>
            <w:tcW w:w="3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46A4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خرید و </w:t>
            </w:r>
            <w:r>
              <w:rPr>
                <w:sz w:val="22"/>
                <w:szCs w:val="22"/>
                <w:rtl/>
              </w:rPr>
              <w:t>مشکلات اقتصادی مصرف‌کننده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CCA2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511A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28CA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9E4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</w:tbl>
    <w:p w14:paraId="10FB9C46" w14:textId="77777777" w:rsidR="00E94CEF" w:rsidRDefault="00E94CEF">
      <w:pPr>
        <w:bidi/>
        <w:jc w:val="lowKashida"/>
      </w:pPr>
    </w:p>
    <w:p w14:paraId="62864A26" w14:textId="77777777" w:rsidR="00E94CEF" w:rsidRDefault="00153DD1">
      <w:pPr>
        <w:pStyle w:val="Heading3"/>
        <w:keepNext/>
        <w:bidi/>
        <w:spacing w:before="180" w:after="80"/>
        <w:jc w:val="lowKashida"/>
      </w:pPr>
      <w:r>
        <w:t>۴-۲-۲ تجزیه و تحلیل داده‌های آمار استنباطی</w:t>
      </w:r>
    </w:p>
    <w:p w14:paraId="54D76F54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در روش دلفی، آمار استنباطی نه برای تعمیم نتایج به یک جامعه آماری بزرگ‌تر، بلکه برای سنجش معناداری آماری اجماع میان اعضای پانل و میزان ثبات رتبه‌بندی‌ها در طول دورهای متوالی به کار می‌رود. شیفانو و </w:t>
      </w:r>
      <w:r>
        <w:rPr>
          <w:rtl/>
        </w:rPr>
        <w:lastRenderedPageBreak/>
        <w:t>نیدربرگر (۲۰۲۵)</w:t>
      </w:r>
      <w:r>
        <w:rPr>
          <w:rStyle w:val="FootnoteReference"/>
        </w:rPr>
        <w:footnoteReference w:id="3"/>
      </w:r>
      <w:r>
        <w:rPr>
          <w:rtl/>
        </w:rPr>
        <w:t xml:space="preserve"> در مرور دامنه‌ای خود، ضریب هماهنگی کندال </w:t>
      </w:r>
      <w:r>
        <w:rPr>
          <w:rtl/>
        </w:rPr>
        <w:t>(W) را از رایج‌ترین آزمون‌های استنباطی برای سنجش میزان توافق میان رتبه‌بندی‌های اعضای پانل دلفی معرفی می‌کنند؛ ضریبی که دامنه آن از صفر (نبود هیچ توافق) تا یک (توافق کامل) است و معناداری آماری آن با آزمون مجذور کای ارزیابی می‌شود.</w:t>
      </w:r>
    </w:p>
    <w:p w14:paraId="37365308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این آزمون به داده هر دور </w:t>
      </w:r>
      <w:r>
        <w:rPr>
          <w:rtl/>
        </w:rPr>
        <w:t>رتبه‌بندی نیاز دارد. ضریب هماهنگی کندال برای دور دوم و دور سوم، که هر دو با مشارکت کامل هفت عضو پانل اجرا شدند، محاسبه و در جدول ۴-۹ گزارش شده است.</w:t>
      </w:r>
    </w:p>
    <w:p w14:paraId="3A1C1F71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>جدول ۴-۹ نتایج آزمون ضریب هماهنگی کندال (W) برای سنجش اجماع در دورهای دلفی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7"/>
        <w:gridCol w:w="1722"/>
        <w:gridCol w:w="1722"/>
        <w:gridCol w:w="1722"/>
        <w:gridCol w:w="2475"/>
      </w:tblGrid>
      <w:tr w:rsidR="00E94CEF" w14:paraId="0DE2DC0B" w14:textId="77777777">
        <w:trPr>
          <w:tblHeader/>
          <w:cantSplit/>
        </w:trPr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FB1B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دور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24187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ضریب W کندال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B8F62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 xml:space="preserve">آماره مجذور </w:t>
            </w:r>
            <w:r>
              <w:rPr>
                <w:b/>
                <w:bCs/>
                <w:sz w:val="22"/>
                <w:szCs w:val="22"/>
                <w:rtl/>
              </w:rPr>
              <w:t>کای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869A3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سطح معناداری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94D2E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نتیجه</w:t>
            </w:r>
          </w:p>
        </w:tc>
      </w:tr>
      <w:tr w:rsidR="00E94CEF" w14:paraId="18D4103D" w14:textId="77777777">
        <w:trPr>
          <w:cantSplit/>
        </w:trPr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04EE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دوم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0345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۰٫۲۲۴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8C1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۴۳٫۸۷ (df=۲۸)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F988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۰٫۰۲۸۶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AB5F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توافق معنادار (p&lt;۰٫۰۵)؛ میزان توافق ضعیف تا متوسط</w:t>
            </w:r>
          </w:p>
        </w:tc>
      </w:tr>
      <w:tr w:rsidR="00E94CEF" w14:paraId="16948206" w14:textId="77777777">
        <w:trPr>
          <w:cantSplit/>
        </w:trPr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FB48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سوم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D5F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۰٫۷۵۶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7E43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۱۴۸٫۱۹ (df=۲۸)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A3AE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کمتر از ۰٫۰۰۰۱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18A5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توافق معنادار (p&lt;۰٫۰۵)؛ میزان توافق قوی</w:t>
            </w:r>
          </w:p>
        </w:tc>
      </w:tr>
    </w:tbl>
    <w:p w14:paraId="5A4CDAEC" w14:textId="77777777" w:rsidR="00E94CEF" w:rsidRDefault="00E94CEF">
      <w:pPr>
        <w:bidi/>
        <w:jc w:val="lowKashida"/>
      </w:pPr>
    </w:p>
    <w:p w14:paraId="6F6FE32C" w14:textId="77777777" w:rsidR="00E94CEF" w:rsidRDefault="00153DD1">
      <w:pPr>
        <w:bidi/>
        <w:spacing w:after="80"/>
        <w:jc w:val="lowKashida"/>
      </w:pPr>
      <w:r>
        <w:rPr>
          <w:rtl/>
        </w:rPr>
        <w:t>همان‌گونه که جدول ۴-۹ نشان می‌دهد، ضریب W کندال از دور دوم (۰٫۲۲۴) به دور سوم (۰٫۷۵۶) افزایش چشمگیری یافته است؛ این افزایش، اثربخشی بازخورد کنترل‌شده و ناشناس دور سوم را در نزدیک‌تر کردن دیدگاه اعضای پانل به یکدیگر نشان می‌دهد و با الگوی مورد انتظار در فرا</w:t>
      </w:r>
      <w:r>
        <w:rPr>
          <w:rtl/>
        </w:rPr>
        <w:t>یندهای دلفی سازگار است.</w:t>
      </w:r>
    </w:p>
    <w:p w14:paraId="326B018D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علاوه بر معناداری توافق درون هر دور، ثبات نسبی رتبه‌بندی‌ها میان دو دور متوالی — که در بخش ۳-۷-۲ به عنوان ملاک توقف دورهای دلفی معرفی شد — نیز به‌صورت آماری بررسی شد. جدول ۴-۱۰ ضریب همبستگی رتبه‌ای اسپیرمن میان امتیازهای میانگین گویه‌ها و میانگین مؤلفه‌ها در دور دوم و دور سوم را، به همراه سطح معناداری آن، نشان می‌دهد. رسیدن همبستگی به سطح بالا و معنادار، ملاک توقف فرایند دلفی در پژوهش حاضر بود (بر پایه رویکرد شیفانو و نیدربرگر، ۲۰۲۵)</w:t>
      </w:r>
      <w:r>
        <w:rPr>
          <w:rStyle w:val="FootnoteReference"/>
        </w:rPr>
        <w:footnoteReference w:id="4"/>
      </w:r>
      <w:r>
        <w:rPr>
          <w:rtl/>
        </w:rPr>
        <w:t>.</w:t>
      </w:r>
    </w:p>
    <w:p w14:paraId="54DD8155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 xml:space="preserve">جدول ۴-۱۰ ضریب همبستگی رتبه‌ای میان امتیازهای گویه‌ها و مؤلفه‌ها در دور دوم و دور سوم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9"/>
        <w:gridCol w:w="1953"/>
        <w:gridCol w:w="1953"/>
        <w:gridCol w:w="1953"/>
      </w:tblGrid>
      <w:tr w:rsidR="00E94CEF" w14:paraId="6C580C7E" w14:textId="77777777">
        <w:trPr>
          <w:tblHeader/>
          <w:cantSplit/>
        </w:trPr>
        <w:tc>
          <w:tcPr>
            <w:tcW w:w="2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B76C86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مقایسه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B37EF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ضریب همبستگی اسپیرمن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D8AD7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سطح معناداری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42ABC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نتیجه</w:t>
            </w:r>
          </w:p>
        </w:tc>
      </w:tr>
      <w:tr w:rsidR="00E94CEF" w14:paraId="461E8ED0" w14:textId="77777777">
        <w:trPr>
          <w:cantSplit/>
        </w:trPr>
        <w:tc>
          <w:tcPr>
            <w:tcW w:w="2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41F5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دور دوم با دور سوم (سطح گویه، ۲۹ گویه)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2D4C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۰٫۸۴۷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9820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کمتر از ۰٫۰۰۰۱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F099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همبستگی بالا و معنادار</w:t>
            </w:r>
          </w:p>
        </w:tc>
      </w:tr>
      <w:tr w:rsidR="00E94CEF" w14:paraId="1000001D" w14:textId="77777777">
        <w:trPr>
          <w:cantSplit/>
        </w:trPr>
        <w:tc>
          <w:tcPr>
            <w:tcW w:w="2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دور دوم با دور سوم (سطح مؤلفه، ۹ مؤلفه)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1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۰٫۸۳۳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2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کمتر از ۰٫۰۱</w:t>
            </w:r>
          </w:p>
        </w:tc>
        <w:tc>
          <w:tcPr>
            <w:tcW w:w="1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همبستگی بالا و معنادار</w:t>
            </w:r>
          </w:p>
        </w:tc>
      </w:tr>
    </w:tbl>
    <w:p w14:paraId="1D598F91" w14:textId="77777777" w:rsidR="00E94CEF" w:rsidRDefault="00E94CEF">
      <w:pPr>
        <w:bidi/>
        <w:jc w:val="lowKashida"/>
      </w:pPr>
    </w:p>
    <w:p w14:paraId="6E4E4105" w14:textId="77777777" w:rsidR="00E94CEF" w:rsidRDefault="00153DD1">
      <w:pPr>
        <w:pStyle w:val="Heading3"/>
        <w:keepNext/>
        <w:bidi/>
        <w:spacing w:before="180" w:after="80"/>
        <w:jc w:val="lowKashida"/>
      </w:pPr>
      <w:r>
        <w:t>۴-۲-۳ بررسی آزمون فرضیه پژوهش</w:t>
      </w:r>
    </w:p>
    <w:p w14:paraId="4B213C93" w14:textId="77777777" w:rsidR="00E94CEF" w:rsidRDefault="00153DD1">
      <w:pPr>
        <w:bidi/>
        <w:spacing w:after="80"/>
        <w:jc w:val="lowKashida"/>
      </w:pPr>
      <w:r>
        <w:rPr>
          <w:rtl/>
        </w:rPr>
        <w:t>همان‌گونه که در بخش ۱-۶ تشریح شد، پژوهش حاضر دو فرضیه آماری درباره اعتبار فرایند اجماع‌سازی دلفی مطرح کرده است: فرضیه اول درباره معناداری توافق میان اعضای پانل در دور نهایی، و فرضیه دوم درباره ثبات آماری رتبه‌بندی میان دو دور پایانی. این دو فرضیه در ادامه،</w:t>
      </w:r>
      <w:r>
        <w:rPr>
          <w:rtl/>
        </w:rPr>
        <w:t xml:space="preserve"> بر پایه نتایج جدول‌های ۴-۹ و ۴-۱۰ (بخش ۴-۲-۲)، آزمون می‌شوند.</w:t>
      </w:r>
    </w:p>
    <w:p w14:paraId="551DB2A3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۴-۲-۳-۱ آزمون فرضیه اول</w:t>
      </w:r>
    </w:p>
    <w:p w14:paraId="6F5AEBE2" w14:textId="77777777" w:rsidR="00E94CEF" w:rsidRDefault="00153DD1">
      <w:pPr>
        <w:bidi/>
        <w:spacing w:after="80"/>
        <w:jc w:val="lowKashida"/>
      </w:pPr>
      <w:r>
        <w:rPr>
          <w:rtl/>
        </w:rPr>
        <w:t>فرضیه اول: میان رتبه‌بندی گویه‌های چالش فروش توسط اعضای پانل خبرگان در دور نهایی دلفی، توافق (اجماع) معناداری وجود دارد.</w:t>
      </w:r>
    </w:p>
    <w:p w14:paraId="0E1820AF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فرضیه صفر (H0) در مقابل این فرضیه عبارت است از: </w:t>
      </w:r>
      <w:r>
        <w:rPr>
          <w:rtl/>
        </w:rPr>
        <w:t>ضریب هماهنگی کندال میان رتبه‌بندی‌های اعضای پانل، از نظر آماری معنادار نیست. ملاک تصمیم‌گیری به این صورت است: اگر سطح معناداری آزمون مجذور کای مربوط به ضریب W کندال (جدول ۴-۹) کمتر از ۰٫۰۵ باشد، فرضیه صفر رد و فرضیه اول پژوهش تأیید می‌شود؛ در غیر این صورت،</w:t>
      </w:r>
      <w:r>
        <w:rPr>
          <w:rtl/>
        </w:rPr>
        <w:t xml:space="preserve"> فرضیه صفر رد نمی‌شود.</w:t>
      </w:r>
    </w:p>
    <w:p w14:paraId="4EAA9C7C" w14:textId="77777777" w:rsidR="00E94CEF" w:rsidRDefault="00153DD1">
      <w:pPr>
        <w:bidi/>
        <w:spacing w:after="80"/>
        <w:jc w:val="lowKashida"/>
      </w:pPr>
      <w:r>
        <w:rPr>
          <w:rtl/>
        </w:rPr>
        <w:t>نتیجه آزمون: سطح معناداری آزمون مجذور کای مربوط به ضریب W کندال در دور نهایی (سوم) (جدول ۴-۹) کمتر از ۰٫۰۰۰۱ است که به‌طور قابل‌توجهی کمتر از ۰٫۰۵ است؛ بنابراین فرضیه صفر رد می‌شود و فرضیه اول پژوهش تأیید می‌شود: میان رتبه‌بندی گویه‌</w:t>
      </w:r>
      <w:r>
        <w:rPr>
          <w:rtl/>
        </w:rPr>
        <w:t>های چالش فروش توسط اعضای پانل خبرگان در دور نهایی دلفی، توافق معناداری وجود دارد. ضریب W به‌دست‌آمده در این دور (۰٫۷۵۶) در مقایسه با دور دوم (۰٫۲۲۴) افزایش قابل‌توجهی نشان می‌دهد که بیانگر اثربخشی بازخورد کنترل‌شده دور سوم در نزدیک‌تر کردن دیدگاه اعضای پان</w:t>
      </w:r>
      <w:r>
        <w:rPr>
          <w:rtl/>
        </w:rPr>
        <w:t>ل به یکدیگر است.</w:t>
      </w:r>
    </w:p>
    <w:p w14:paraId="024222C2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lastRenderedPageBreak/>
        <w:t>۴-۲-۳-۲ آزمون فرضیه دوم</w:t>
      </w:r>
    </w:p>
    <w:p w14:paraId="3E3C1A8F" w14:textId="77777777" w:rsidR="00E94CEF" w:rsidRDefault="00153DD1">
      <w:pPr>
        <w:bidi/>
        <w:spacing w:after="80"/>
        <w:jc w:val="lowKashida"/>
      </w:pPr>
      <w:r>
        <w:rPr>
          <w:rtl/>
        </w:rPr>
        <w:t>فرضیه دوم: رتبه‌بندی مؤلفه‌های چالش فروش میان دو دور پایانی فرایند دلفی (دور دوم و دور سوم) تفاوت معناداری ندارد.</w:t>
      </w:r>
    </w:p>
    <w:p w14:paraId="22D3AEA1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فرضیه صفر (H0) در مقابل این فرضیه عبارت است از: میان رتبه‌بندی دور دوم و دور سوم همبستگی معناداری وجود ندارد. ملاک تصمیم‌گیری به این صورت است: اگر سطح معناداری ضریب همبستگی رتبه‌ای میان دو دور (جدول ۴-۱۰) هم در سطح گویه‌ها و هم در سطح مؤلفه‌ها کمتر از ۰٫۰۵ و مقدار ضریب همبستگی بالا باشد، فرضیه صفر رد و فرضیه دوم پژوهش تأیید می‌شود؛ یعنی فرایند دلفی به ثبات آماری رسیده و ادامه دورها ضرورتی ندارد.</w:t>
      </w:r>
    </w:p>
    <w:p w14:paraId="2DDF1654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نتیجه آزمون: ضریب همبستگی رتبه‌ای اسپیرمن میان امتیازهای میانگین گویه‌ها در دور دوم و دور سوم (جدول ۴-۱۰) برابر با ۰٫۸۴۷ و سطح معناداری آن کمتر از ۰٫۰۰۰۱ است؛ در سطح مؤلفه نیز ضریب همبستگی میان میانگین‌های نُه مؤلفه در دو دور (جدول ۴-۱۲) برابر با ۰٫۸۳۳ و سطح معناداری آن کمتر از ۰٫۰۱ است. از آنجا که این همبستگی در هر دو سطح هم بالا و هم از نظر آماری معنادار است، فرضیه صفر رد می‌شود و فرضیه دوم پژوهش تأیید می‌شود: رتبه‌بندی گویه‌ها و مؤلفه‌های چالش فروش میان دور دوم و دور سوم تفاوت معناداری ندارد و فرایند دلفی به ثبات نسبی رسیده است. بر این اساس، ادامه دورهای دلفی پس از دور سوم ضرورتی نداشت.</w:t>
      </w:r>
    </w:p>
    <w:p w14:paraId="62686510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۴-۲-۳-۳ پاسخ به پرسش‌های پژوهش</w:t>
      </w:r>
    </w:p>
    <w:p w14:paraId="59F9FAC4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تأیید فرضیه اول و دوم، مبنای آماری لازم را برای اتکا به نتایج اجماع پانل در پاسخ به پرسش‌های پژوهش (بخش ۱-۵) فراهم می‌آورد. پرسش نخست پژوهش عبارت بود از: «چالش‌های فروش در شرکت‌های تک‌محصولی فعال در صنعت مواد غذایی کدام‌اند؟» جدول ۴-۱۱، بر پایه تحلیل مضمون پاسخ‌های دور نخست پانل (بخش ۴-۲-۱-۳)، پاسخ این پرسش را در قالب نُه مؤلفه و بیست‌ونه گویه نشان می‌دهد.</w:t>
      </w:r>
    </w:p>
    <w:p w14:paraId="661616E1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>جدول ۴-۱۱ فهرست چالش‌های فروش شناسایی‌شده به تفکیک مؤلفه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"/>
        <w:gridCol w:w="2303"/>
        <w:gridCol w:w="5908"/>
      </w:tblGrid>
      <w:tr w:rsidR="00E94CEF" w14:paraId="5CEC8BD9" w14:textId="77777777">
        <w:trPr>
          <w:tblHeader/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8A23B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4B23C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مؤلفه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68AEE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گویه‌های زیرمجموعه</w:t>
            </w:r>
          </w:p>
        </w:tc>
      </w:tr>
      <w:tr w:rsidR="00E94CEF" w14:paraId="38C8154E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DF74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4F4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آسیب‌پذیری ساختاری ناشی از تمرک</w:t>
            </w:r>
            <w:r>
              <w:rPr>
                <w:sz w:val="22"/>
                <w:szCs w:val="22"/>
                <w:rtl/>
              </w:rPr>
              <w:t>ز بر محصول واحد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00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وابستگی کامل درآمد و سودآوری شرکت به تقاضای یک محصول</w:t>
            </w:r>
          </w:p>
          <w:p w14:paraId="10000001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نبود امکان جبران افت فروش از محل سایر اقلام سبد محصول</w:t>
            </w:r>
          </w:p>
          <w:p w14:paraId="1000000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انعطاف‌پذیری و کندی واکنش شرکت به تغییرات بازار</w:t>
            </w:r>
          </w:p>
        </w:tc>
      </w:tr>
      <w:tr w:rsidR="00E94CEF" w14:paraId="16DC7438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6345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DF3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برندسازی و دشواری تمایز محصول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03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برندسازی و تبلیغات و کمرنگ بودن جایگاه برند در ذهن مشتری</w:t>
            </w:r>
          </w:p>
          <w:p w14:paraId="10000004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دشواری ایجاد تمایز نسبت به محصولات رقیب</w:t>
            </w:r>
          </w:p>
          <w:p w14:paraId="10000005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نبود نوآوری و توسعه محصول</w:t>
            </w:r>
          </w:p>
          <w:p w14:paraId="1000000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کم‌توجهی به تحقیقات بازار و مطالعه رفتار مصرف‌کننده</w:t>
            </w:r>
          </w:p>
        </w:tc>
      </w:tr>
      <w:tr w:rsidR="00E94CEF" w14:paraId="11B5A420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634C9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E9BF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و حفظ مشتری و وفاداری پایین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07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دشواری جذب مشتری جدید</w:t>
            </w:r>
          </w:p>
          <w:p w14:paraId="10000008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وفاداری پایین مشتری به شرکت تک‌محصولی</w:t>
            </w:r>
          </w:p>
          <w:p w14:paraId="1000000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نبود پیشنهاد تازه برای حفظ و فعال‌سازی مجدد مشتریان فعلی</w:t>
            </w:r>
          </w:p>
        </w:tc>
      </w:tr>
      <w:tr w:rsidR="00E94CEF" w14:paraId="044140CC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615C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F197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</w:t>
            </w:r>
            <w:r>
              <w:rPr>
                <w:sz w:val="22"/>
                <w:szCs w:val="22"/>
                <w:rtl/>
              </w:rPr>
              <w:t>برنامه‌ریزی، پیش‌بینی و مدیریت فروش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0A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ضعف در پیش‌بینی دقیق تقاضای بازار</w:t>
            </w:r>
          </w:p>
          <w:p w14:paraId="1000000B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برنامه‌ریزی و مدیریت موجودی</w:t>
            </w:r>
          </w:p>
          <w:p w14:paraId="1000000C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ضعف در نظام برنامه‌ریزی و اطلاعات فروش</w:t>
            </w:r>
          </w:p>
          <w:p w14:paraId="1000000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محدودیت منابع مالی برای توزیع و ترویج محصول</w:t>
            </w:r>
          </w:p>
        </w:tc>
      </w:tr>
      <w:tr w:rsidR="00E94CEF" w14:paraId="200A9C9F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5F8D6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lastRenderedPageBreak/>
              <w:t>۵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F8FB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ناکارآمدی و هزینه‌بری شبکه توزیع و فروش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0E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هزینه بالای پخش و توزیع به ازای یک قلم کالا</w:t>
            </w:r>
          </w:p>
          <w:p w14:paraId="1000000F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کوچک بودن شبکه فروش و پوشش محدود بازار</w:t>
            </w:r>
          </w:p>
          <w:p w14:paraId="10000010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کاهش قدرت چانه‌زنی در برابر شبکه توزیع و خرده‌فروشی چندمحصولی</w:t>
            </w:r>
          </w:p>
          <w:p w14:paraId="1000001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وابستگی به تعداد محدودی مشتری یا کانال فروش</w:t>
            </w:r>
          </w:p>
        </w:tc>
      </w:tr>
      <w:tr w:rsidR="00E94CEF" w14:paraId="395DACB7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7368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3F72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شدت رقابت و فشار قیمتی بازار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12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ورود رقبای جدید و افزایش شدت رقابت</w:t>
            </w:r>
          </w:p>
          <w:p w14:paraId="10000013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حضور محصولات جایگزین و برندهای رقیب دارای سبد متنوع</w:t>
            </w:r>
          </w:p>
          <w:p w14:paraId="1000001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رقابت قیمتی و نوسان قیمت رقبا</w:t>
            </w:r>
          </w:p>
        </w:tc>
      </w:tr>
      <w:tr w:rsidR="00E94CEF" w14:paraId="7A28ED19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B7B2B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B05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تغییر ذائقه </w:t>
            </w:r>
            <w:r>
              <w:rPr>
                <w:sz w:val="22"/>
                <w:szCs w:val="22"/>
                <w:rtl/>
              </w:rPr>
              <w:t>مصرف‌کننده و محدودیت بازار هدف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15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تغییر سریع ذائقه و ترجیحات مصرف‌کننده در گذر زمان</w:t>
            </w:r>
          </w:p>
          <w:p w14:paraId="10000016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محدود بودن بازار هدف به یک گروه خاص از مشتریان</w:t>
            </w:r>
          </w:p>
          <w:p w14:paraId="1000001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افت ناگهانی تقاضا</w:t>
            </w:r>
          </w:p>
        </w:tc>
      </w:tr>
      <w:tr w:rsidR="00E94CEF" w14:paraId="31717D97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D4D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E003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ناپایداری تأمین و نوسان بهای مواد اولیه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18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نوسان و کمبود در تأمین مواد اولیه</w:t>
            </w:r>
          </w:p>
          <w:p w14:paraId="10000019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وابستگی تأمین به واردات و اثر تحریم و محدودیت‌های اقتصادی</w:t>
            </w:r>
          </w:p>
          <w:p w14:paraId="1000001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ناپیوستگی عرضه و کسری محصول در بازار</w:t>
            </w:r>
          </w:p>
        </w:tc>
      </w:tr>
      <w:tr w:rsidR="00E94CEF" w14:paraId="551C704A" w14:textId="77777777">
        <w:trPr>
          <w:cantSplit/>
        </w:trPr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BDE9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2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77E2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فشارهای اقتصاد کلان و کاهش قدرت خرید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1B" w14:textId="77777777" w:rsidR="00E94CEF" w:rsidRDefault="00153DD1">
            <w:pPr>
              <w:bidi/>
              <w:spacing w:after="60"/>
              <w:jc w:val="center"/>
            </w:pPr>
            <w:r>
              <w:rPr>
                <w:sz w:val="22"/>
                <w:szCs w:val="22"/>
                <w:rtl/>
              </w:rPr>
              <w:t xml:space="preserve">افزایش بهای تمام‌شده و فشار بر حاشیه سود</w:t>
            </w:r>
          </w:p>
          <w:p w14:paraId="1000001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خرید و مشکلات اقتصادی مصرف‌کننده</w:t>
            </w:r>
          </w:p>
        </w:tc>
      </w:tr>
    </w:tbl>
    <w:p w14:paraId="3F0C9BED" w14:textId="77777777" w:rsidR="00E94CEF" w:rsidRDefault="00E94CEF">
      <w:pPr>
        <w:bidi/>
        <w:jc w:val="lowKashida"/>
      </w:pPr>
    </w:p>
    <w:p w14:paraId="1ED3DA21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پرسش دوم پژوهش عبارت بود از: «اولویت چالش‌های فروش در شرکت‌های تک‌محصولی فعال در صنعت مواد غذایی چگونه است؟» با تکمیل سه دور فرایند دلفی و تأیید فرضیه اول و دوم، رتبه‌بندی نهایی مؤلفه‌ها بر پایه میانگین امتیاز گویه‌های هر مؤلفه در </w:t>
      </w:r>
      <w:r>
        <w:rPr>
          <w:rtl/>
        </w:rPr>
        <w:t>دور سوم (دور پایانی) محاسبه شد؛ جدول ۴-۱۲ این رتبه‌بندی نهایی را، به همراه میانگین دور دوم برای مقایسه، نشان می‌دهد.</w:t>
      </w:r>
    </w:p>
    <w:p w14:paraId="4063DA3D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>جدول ۴-۱۲ رتبه‌بندی نهایی مؤلفه‌های چالش فروش بر پایه اجماع پانل دلفی (دور سوم)</w:t>
      </w:r>
      <w:r>
        <w:t xml:space="preserve"> (منبع: یافته‌های پژوهش)</w:t>
      </w:r>
    </w:p>
    <w:tbl>
      <w:tblPr>
        <w:bidiVisual/>
        <w:tblW w:w="8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800"/>
        <w:gridCol w:w="1600"/>
        <w:gridCol w:w="1600"/>
        <w:gridCol w:w="1788"/>
      </w:tblGrid>
      <w:tr w:rsidR="00E94CEF" w14:paraId="23768895" w14:textId="77777777">
        <w:trPr>
          <w:tblHeader/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81D1E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1E244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مؤلفه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2006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میانگین امتیاز (دور سوم)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273881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میانگین امتیاز (دور دوم</w:t>
            </w:r>
            <w:r>
              <w:rPr>
                <w:b/>
                <w:bCs/>
                <w:sz w:val="22"/>
                <w:szCs w:val="22"/>
                <w:rtl/>
              </w:rPr>
              <w:t>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F7DB5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رتبه</w:t>
            </w:r>
          </w:p>
        </w:tc>
      </w:tr>
      <w:tr w:rsidR="00E94CEF" w14:paraId="0013096E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917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A48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فشارهای اقتصاد کلان و کاهش قدرت خرید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B932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۴٫۵۰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91D4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۴٫۳۶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75177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</w:tr>
      <w:tr w:rsidR="00E94CEF" w14:paraId="48EFC73E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D6D7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D6A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ذائقه مصرف‌کننده و محدودیت بازار هدف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73EB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۴٫۴۳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CE74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۴٫۳۳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0E2F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</w:tr>
      <w:tr w:rsidR="00E94CEF" w14:paraId="0E411BEC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B61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9ED0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شدت رقابت و فشار قیمتی بازار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70EA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۴٫۳۳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A89F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۴٫۴۸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BAC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</w:tr>
      <w:tr w:rsidR="00E94CEF" w14:paraId="03EADED3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8EAE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956C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آسیب‌پذیری ساختاری ناشی از تمرکز بر محصول واحد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39BB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۴٫۲۹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9798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۴٫۳۸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7CC7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</w:tr>
      <w:tr w:rsidR="00E94CEF" w14:paraId="216C5BD1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2FB2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8D67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ناپایداری تأمین و نوسان </w:t>
            </w:r>
            <w:r>
              <w:rPr>
                <w:sz w:val="22"/>
                <w:szCs w:val="22"/>
                <w:rtl/>
              </w:rPr>
              <w:t>بهای مواد اولیه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E947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۴٫۱۹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5645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7CF6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</w:tr>
      <w:tr w:rsidR="00E94CEF" w14:paraId="0C91C7D0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B19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lastRenderedPageBreak/>
              <w:t>۶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3BC0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ناکارآمدی و هزینه‌بری شبکه توزیع و فروش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1911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۴٫۱۱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807C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۴٫۰۴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04B9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</w:tr>
      <w:tr w:rsidR="00E94CEF" w14:paraId="77CF0134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B41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DEB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و حفظ مشتری و وفاداری پایین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F570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۳٫۸۱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B5C5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۳٫۷۶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1A47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</w:tr>
      <w:tr w:rsidR="00E94CEF" w14:paraId="604A449A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E2CE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CEA3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برنامه‌ریزی، پیش‌بینی و مدیریت فروش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189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۳٫۷۹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93AF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۳٫۷۹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6DA1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</w:tr>
      <w:tr w:rsidR="00E94CEF" w14:paraId="50269448" w14:textId="77777777"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6BF6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8DA9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برندسازی و دشواری تمایز محصول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C75B8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۳٫۵۷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E2C9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۳٫۶۱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2918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</w:tr>
    </w:tbl>
    <w:p w14:paraId="731361A0" w14:textId="77777777" w:rsidR="00E94CEF" w:rsidRDefault="00E94CEF">
      <w:pPr>
        <w:bidi/>
        <w:jc w:val="lowKashida"/>
      </w:pPr>
    </w:p>
    <w:p w14:paraId="78B84E74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در مقایسه با رتبه‌بندی دور دوم، ترتیب چند مؤلفه نخست در دور سوم دستخوش جابه‌جایی جزئی شد؛ برای نمونه، مؤلفه «فشارهای اقتصاد کلان و کاهش قدرت خرید» از رتبه سوم به رتبه نخست رسید. این جابه‌جایی با همبستگی رتبه‌ای بالا و معنادار گزارش‌شده در جدول ۴-۱۰ — هم در سطح گویه‌ها و هم در سطح مؤلفه‌ها — ناسازگار نیست و از نوسان طبیعی رتبه‌بندی در میان گزینه‌های دارای امتیاز نزدیک به هم ناشی می‌شود.</w:t>
      </w:r>
    </w:p>
    <w:p w14:paraId="10000022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تفکیک مؤلفه‌ها بر پایه دسته نیز الگوی روشنی نشان می‌دهد: هر چهار مؤلفه برون‌سازمانی (رتبه‌های ۱، ۲، ۳ و ۵) در پنج رتبه نخست جای دارند و میانگین آن‌ها (۴٫۳۶) از میانگین پنج مؤلفه درون‌سازمانی (۳٫۹۱) بیشتر است؛ تفسیر این الگو در فصل پنجم ارائه خواهد شد.</w:t>
      </w:r>
    </w:p>
    <w:p w14:paraId="10000023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رتبه‌بندی نهایی در سطح گویه، که در بخش ۳-۷-۲ به عنوان سطح نخست رتبه‌بندی معرفی شد، در جدول ۴-۱۳ بر پایه میانگین امتیاز هر گویه در دور سوم ارائه شده است؛ گویه‌های دارای میانگین یکسان، رتبه یکسان گرفته‌اند.</w:t>
      </w:r>
    </w:p>
    <w:p w14:paraId="10000025" w14:textId="77777777" w:rsidR="00E94CEF" w:rsidRDefault="00153DD1">
      <w:pPr>
        <w:pStyle w:val="TableCaption"/>
        <w:keepNext/>
        <w:spacing w:before="160" w:after="80"/>
        <w:jc w:val="center"/>
        <w:rPr>
          <w:vanish/>
        </w:rPr>
      </w:pPr>
      <w:r>
        <w:t xml:space="preserve">جدول ۴-۱۳ رتبه‌بندی نهایی گویه‌های چالش فروش بر پایه اجماع پانل دلفی (دور سوم)</w:t>
      </w:r>
      <w:r>
        <w:t xml:space="preserve"> (منبع: یافته‌های پژوهش)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3700"/>
        <w:gridCol w:w="2960"/>
        <w:gridCol w:w="1488"/>
      </w:tblGrid>
      <w:tr w:rsidR="00E94CEF" w14:paraId="10000026" w14:textId="77777777">
        <w:trPr>
          <w:tblHeader/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27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 xml:space="preserve">رتبه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2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 xml:space="preserve">گویه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2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 xml:space="preserve">مؤلفه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2A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 xml:space="preserve">میانگین امتیاز (دور سوم)</w:t>
            </w:r>
          </w:p>
        </w:tc>
      </w:tr>
      <w:tr w:rsidR="00E94CEF" w14:paraId="10000062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ورود رقبای جدید و افزایش شدت رقابت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شدت رقابت و فشار قیمتی بازار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۵٫۰۰</w:t>
            </w:r>
          </w:p>
        </w:tc>
      </w:tr>
      <w:tr w:rsidR="00E94CEF" w14:paraId="10000068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افزایش بهای تمام‌شده و فشار بر حاشیه سود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فشارهای اقتصاد کلان و کاهش قدرت خرید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۵٫۰۰</w:t>
            </w:r>
          </w:p>
        </w:tc>
      </w:tr>
      <w:tr w:rsidR="00E94CEF" w14:paraId="1000006E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6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تغییر سریع ذائقه و ترجیحات مصرف‌کننده در گذر زمان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تغییر ذائقه مصرف‌کننده و محدودیت بازار هدف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۴٫۷۱</w:t>
            </w:r>
          </w:p>
        </w:tc>
      </w:tr>
      <w:tr w:rsidR="00E94CEF" w14:paraId="10000074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محدود بودن بازار هدف به یک گروه خاص از مشتریان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تغییر ذائقه مصرف‌کننده و محدودیت بازار هدف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۴٫۵۷</w:t>
            </w:r>
          </w:p>
        </w:tc>
      </w:tr>
      <w:tr w:rsidR="00E94CEF" w14:paraId="1000007A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نوسان و کمبود در تأمین مواد اولیه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ناپایداری تأمین و نوسان بهای مواد اولیه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7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۴٫۵۷</w:t>
            </w:r>
          </w:p>
        </w:tc>
      </w:tr>
      <w:tr w:rsidR="00E94CEF" w14:paraId="10000080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۶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وابستگی کامل درآمد و سودآوری شرکت به تقاضای یک محصول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آسیب‌پذیری ساختاری ناشی از تمرکز بر محصول واحد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۴٫۴۳</w:t>
            </w:r>
          </w:p>
        </w:tc>
      </w:tr>
      <w:tr w:rsidR="00E94CEF" w14:paraId="10000086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۶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نبود امکان جبران افت فروش از محل سایر اقلام سبد محصول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آسیب‌پذیری ساختاری ناشی از تمرکز بر محصول واحد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۴٫۴۳</w:t>
            </w:r>
          </w:p>
        </w:tc>
      </w:tr>
      <w:tr w:rsidR="00E94CEF" w14:paraId="1000008C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۶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هزینه بالای پخش و توزیع به ازای یک قلم کالا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8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ناکارآمدی و هزینه‌بری شبکه توزیع و فروش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۴٫۴۳</w:t>
            </w:r>
          </w:p>
        </w:tc>
      </w:tr>
      <w:tr w:rsidR="00E94CEF" w14:paraId="10000092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انعطاف‌پذیری و کندی واکنش شرکت به تغییرات بازار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آسیب‌پذیری ساختاری ناشی از تمرکز بر محصول واحد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98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برندسازی و تبلیغات و کمرنگ بودن جایگاه برند در ذهن مشتری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برندسازی و دشواری تمایز محصول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9E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9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دشواری ایجاد تمایز نسبت به محصولات رقیب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برندسازی و دشواری تمایز محصول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A4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دشواری جذب مشتری جدید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دشواری جذب و حفظ مشتری و وفاداری پایین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AA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وفاداری پایین مشتری به شرکت تک‌محصولی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دشواری جذب و حفظ مشتری و وفاداری پایین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A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B0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پیش‌بینی دقیق تقاضای بازار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برنامه‌ریزی، پیش‌بینی و مدیریت فروش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B6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برنامه‌ریزی و مدیریت موجودی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برنامه‌ریزی، پیش‌بینی و مدیریت فروش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BC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محدودیت منابع مالی برای توزیع و ترویج محصول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B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برنامه‌ریزی، پیش‌بینی و مدیریت فروش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C2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کوچک بودن شبکه فروش و پوشش محدود بازار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ناکارآمدی و هزینه‌بری شبکه توزیع و فروش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C8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چانه‌زنی در برابر شبکه توزیع و خرده‌فروشی چندمحصولی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ناکارآمدی و هزینه‌بری شبکه توزیع و فروش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CE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C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وابستگی به تعداد محدودی مشتری یا کانال فروش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ناکارآمدی و هزینه‌بری شبکه توزیع و فروش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D4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حضور محصولات جایگزین و برندهای رقیب دارای سبد متنوع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شدت رقابت و فشار قیمتی بازار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DA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رقابت قیمتی و نوسان قیمت رقبا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شدت رقابت و فشار قیمتی بازار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D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E0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افت ناگهانی تقاضا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تغییر ذائقه مصرف‌کننده و محدودیت بازار هدف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E6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وابستگی تأمین به واردات و اثر تحریم و محدودیت‌های اقتصادی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ناپایداری تأمین و نوسان بهای مواد اولیه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EC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ناپیوستگی عرضه و کسری محصول در بازار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ناپایداری تأمین و نوسان بهای مواد اولیه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F2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۹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خرید و مشکلات اقتصادی مصرف‌کننده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فشارهای اقتصاد کلان و کاهش قدرت خرید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۴٫۰۰</w:t>
            </w:r>
          </w:p>
        </w:tc>
      </w:tr>
      <w:tr w:rsidR="00E94CEF" w14:paraId="100000F8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۲۶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نبود پیشنهاد تازه برای حفظ و فعال‌سازی مجدد مشتریان فعلی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دشواری جذب و حفظ مشتری و وفاداری پایین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۳٫۴۳</w:t>
            </w:r>
          </w:p>
        </w:tc>
      </w:tr>
      <w:tr w:rsidR="00E94CEF" w14:paraId="100000FE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0F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۲۷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نبود نوآوری و توسعه محصول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برندسازی و دشواری تمایز محصول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۳٫۱۴</w:t>
            </w:r>
          </w:p>
        </w:tc>
      </w:tr>
      <w:tr w:rsidR="00E94CEF" w14:paraId="10000104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۲۷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کم‌توجهی به تحقیقات بازار و مطالعه رفتار مصرف‌کننده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برندسازی و دشواری تمایز محصول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۳٫۱۴</w:t>
            </w:r>
          </w:p>
        </w:tc>
      </w:tr>
      <w:tr w:rsidR="00E94CEF" w14:paraId="1000010A" w14:textId="77777777">
        <w:trPr>
          <w:cantSplit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۲۷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نظام برنامه‌ریزی و اطلاعات فروش</w:t>
            </w:r>
          </w:p>
        </w:tc>
        <w:tc>
          <w:tcPr>
            <w:tcW w:w="2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برنامه‌ریزی، پیش‌بینی و مدیریت فروش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0010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۳٫۱۴</w:t>
            </w:r>
          </w:p>
        </w:tc>
      </w:tr>
    </w:tbl>
    <w:p w14:paraId="10000110" w14:textId="77777777" w:rsidR="00E94CEF" w:rsidRDefault="00E94CEF">
      <w:pPr>
        <w:bidi/>
        <w:jc w:val="lowKashida"/>
      </w:pPr>
    </w:p>
    <w:p w14:paraId="10000024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همان‌گونه که جدول ۴-۱۳ نشان می‌دهد، دو گویه «ورود رقبای جدید و افزایش شدت رقابت» و «افزایش بهای تمام‌شده و فشار بر حاشیه سود» با میانگین ۵٫۰۰ در رتبه نخست قرار دارند؛ پس از آن‌ها گویه «تغییر سریع ذائقه و ترجیحات مصرف‌کننده در گذر زمان» (۴٫۷۱) و دو گویه «محدود بودن بازار هدف به یک گروه خاص از مشتریان» و «نوسان و کمبود در تأمین مواد اولیه» (هر دو ۴٫۵۷) آمده‌اند. هر پنج گویه‌ای که میانگین آن‌ها دست‌کم ۴٫۵۷ است، به مؤلفه‌های برون‌سازمانی تعلق دارند. در سوی دیگر، گویه‌های «نبود نوآوری و توسعه محصول»، «کم‌توجهی به تحقیقات بازار و مطالعه رفتار مصرف‌کننده» و «ضعف در نظام برنامه‌ریزی و اطلاعات فروش» با میانگین ۳٫۱۴ در پایین‌ترین رتبه جای دارند و هر سه درون‌سازمانی‌اند. هفده گویه نیز میانگین دقیقاً ۴٫۰۰ و انحراف معیار صفر دارند؛ یعنی هر هفت عضو پانل به آن‌ها امتیاز ۴ داده‌اند و از این رو میان این گویه‌ها تمایز رتبه‌ای وجود ندارد.</w:t>
      </w:r>
    </w:p>
    <w:p w14:paraId="51A6BA37" w14:textId="77777777" w:rsidR="00E94CEF" w:rsidRDefault="00153DD1">
      <w:pPr>
        <w:pStyle w:val="Heading2"/>
        <w:keepNext/>
        <w:bidi/>
        <w:spacing w:before="240" w:after="80"/>
        <w:jc w:val="lowKashida"/>
        <w:rPr>
          <w:sz w:val="32"/>
          <w:szCs w:val="32"/>
        </w:rPr>
      </w:pPr>
      <w:r>
        <w:rPr>
          <w:sz w:val="32"/>
          <w:szCs w:val="32"/>
        </w:rPr>
        <w:t>۴-۳ جمع‌بندی فصل</w:t>
      </w:r>
    </w:p>
    <w:p w14:paraId="0442B669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این فصل، یافته‌های حاصل از اجرای کامل فرایند دلفی سه‌دوره‌ای با پانل هفت نفره خبرگان صنعت مواد غذایی را ارائه کرد: ترکیب جمعیت‌شناختی پانل؛ فهرست بیست‌ونه گویه و نُه مؤلفه چالش فروش برگرفته از دور نخست؛ و آمار توصیفی و استنباطی دورهای دوم و سوم رتبه‌بندی. ضریب هماهنگی کندال از دور دوم (W=۰٫۲۲۴) به دور سوم (W=۰٫۷۵۶) افزایش معناداری یافت که اثربخشی بازخورد کنترل‌شده را در نزدیک‌تر کردن دیدگاه پانل نشان داد؛ همبستگی رتبه‌ای بالا و معنادار میان دو دور (rho=۰٫۸۴۷ در سطح گویه و rho=۰٫۸۳۳ در سطح مؤلفه) نیز نشان داد فرایند به ثبات رسیده است. بر این پایه، هر دو فرضیه آماری پژوهش تأیید شد و رتبه‌بندی نهایی مؤلفه‌ها (جدول ۴-۱۲) و گویه‌های چالش فروش (جدول ۴-۱۳) به دست آمد؛ بر اساس این رتبه‌بندی، هر چهار مؤلفه برون‌سازمانی در پنج رتبه نخست جای گرفتند. تحلیل و تفسیر عمیق‌تر این یافته‌ها، مقایسه آن‌ها با فهرست چالش‌های برگرفته از ادبیات نظری فصل دوم (جدول ۲-۱)، و ارائه پیشنهادهای کاربردی و پژوهشی بر این اساس، موضوع فصل پنجم این پژوهش خواهد بود.</w:t>
      </w:r>
    </w:p>
    <w:sectPr w:rsidR="00E94CEF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6355F" w14:textId="77777777" w:rsidR="00153DD1" w:rsidRDefault="00153DD1">
      <w:pPr>
        <w:spacing w:line="240" w:lineRule="auto"/>
      </w:pPr>
      <w:r>
        <w:separator/>
      </w:r>
    </w:p>
  </w:endnote>
  <w:endnote w:type="continuationSeparator" w:id="0">
    <w:p w14:paraId="3DE11E22" w14:textId="77777777" w:rsidR="00153DD1" w:rsidRDefault="00153D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5CA10F" w14:textId="77777777" w:rsidR="00153DD1" w:rsidRDefault="00153DD1">
      <w:pPr>
        <w:spacing w:line="240" w:lineRule="auto"/>
      </w:pPr>
      <w:r>
        <w:separator/>
      </w:r>
    </w:p>
  </w:footnote>
  <w:footnote w:type="continuationSeparator" w:id="0">
    <w:p w14:paraId="2490EA2E" w14:textId="77777777" w:rsidR="00153DD1" w:rsidRDefault="00153DD1">
      <w:pPr>
        <w:spacing w:line="240" w:lineRule="auto"/>
      </w:pPr>
      <w:r>
        <w:continuationSeparator/>
      </w:r>
    </w:p>
  </w:footnote>
  <w:footnote w:id="1">
    <w:p w14:paraId="6ADB0C61" w14:textId="77777777" w:rsidR="00E94CEF" w:rsidRDefault="00153DD1">
      <w:r>
        <w:rPr>
          <w:rStyle w:val="FootnoteReference"/>
        </w:rPr>
        <w:footnoteRef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Braun &amp; Clarke, 2021</w:t>
      </w:r>
    </w:p>
  </w:footnote>
  <w:footnote w:id="2">
    <w:p w14:paraId="7076CA50" w14:textId="77777777" w:rsidR="00E94CEF" w:rsidRDefault="00153DD1">
      <w:r>
        <w:rPr>
          <w:rStyle w:val="FootnoteReference"/>
        </w:rPr>
        <w:footnoteRef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Bingham, 2023</w:t>
      </w:r>
    </w:p>
  </w:footnote>
  <w:footnote w:id="3">
    <w:p w14:paraId="183C609E" w14:textId="77777777" w:rsidR="00E94CEF" w:rsidRDefault="00153DD1">
      <w:r>
        <w:rPr>
          <w:rStyle w:val="FootnoteReference"/>
        </w:rPr>
        <w:footnoteRef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Schifano &amp; Niederberger, 2025</w:t>
      </w:r>
    </w:p>
  </w:footnote>
  <w:footnote w:id="4">
    <w:p w14:paraId="5F53431F" w14:textId="77777777" w:rsidR="00E94CEF" w:rsidRDefault="00153DD1">
      <w:r>
        <w:rPr>
          <w:rStyle w:val="FootnoteReference"/>
        </w:rPr>
        <w:footnoteRef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Schifano &amp; Niederberger, 2025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003"/>
    <w:multiLevelType w:val="hybridMultilevel"/>
    <w:tmpl w:val="6366B5DA"/>
    <w:lvl w:ilvl="0" w:tplc="07FA4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5CC"/>
    <w:multiLevelType w:val="multilevel"/>
    <w:tmpl w:val="D67AB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890230"/>
    <w:multiLevelType w:val="hybridMultilevel"/>
    <w:tmpl w:val="D4E60EFC"/>
    <w:lvl w:ilvl="0" w:tplc="141CD4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6B6941"/>
    <w:multiLevelType w:val="multilevel"/>
    <w:tmpl w:val="572CB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3A7"/>
    <w:rsid w:val="00153DD1"/>
    <w:rsid w:val="001A13A7"/>
    <w:rsid w:val="00425877"/>
    <w:rsid w:val="0048646F"/>
    <w:rsid w:val="005D725D"/>
    <w:rsid w:val="00723EBE"/>
    <w:rsid w:val="00960EB6"/>
    <w:rsid w:val="00AF356D"/>
    <w:rsid w:val="00E51E8F"/>
    <w:rsid w:val="00E94CEF"/>
    <w:rsid w:val="00EC3BE8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6D1B694A"/>
  <w15:chartTrackingRefBased/>
  <w15:docId w15:val="{DD5BBE60-4B03-440E-B47F-74821E40C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13A7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1A13A7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1A13A7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1A13A7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1A13A7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5">
    <w:name w:val="heading 5"/>
    <w:link w:val="Heading5Char"/>
    <w:uiPriority w:val="9"/>
    <w:semiHidden/>
    <w:unhideWhenUsed/>
    <w:qFormat/>
    <w:rsid w:val="001A13A7"/>
    <w:pPr>
      <w:spacing w:after="0" w:line="240" w:lineRule="auto"/>
      <w:outlineLvl w:val="4"/>
    </w:pPr>
    <w:rPr>
      <w:rFonts w:ascii="B Nazanin" w:eastAsia="B Nazanin" w:hAnsi="B Nazanin" w:cs="B Nazanin"/>
      <w:color w:val="2E74B5"/>
      <w:sz w:val="28"/>
      <w:szCs w:val="28"/>
      <w:lang w:bidi="fa-IR"/>
    </w:rPr>
  </w:style>
  <w:style w:type="paragraph" w:styleId="Heading6">
    <w:name w:val="heading 6"/>
    <w:link w:val="Heading6Char"/>
    <w:uiPriority w:val="9"/>
    <w:semiHidden/>
    <w:unhideWhenUsed/>
    <w:qFormat/>
    <w:rsid w:val="001A13A7"/>
    <w:pPr>
      <w:spacing w:after="0" w:line="240" w:lineRule="auto"/>
      <w:outlineLvl w:val="5"/>
    </w:pPr>
    <w:rPr>
      <w:rFonts w:ascii="B Nazanin" w:eastAsia="B Nazanin" w:hAnsi="B Nazanin" w:cs="B Nazanin"/>
      <w:color w:val="1F4D78"/>
      <w:sz w:val="28"/>
      <w:szCs w:val="28"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3A7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1A13A7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1A13A7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1A13A7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3A7"/>
    <w:rPr>
      <w:rFonts w:ascii="B Nazanin" w:eastAsia="B Nazanin" w:hAnsi="B Nazanin" w:cs="B Nazanin"/>
      <w:color w:val="2E74B5"/>
      <w:sz w:val="28"/>
      <w:szCs w:val="28"/>
      <w:lang w:bidi="fa-I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3A7"/>
    <w:rPr>
      <w:rFonts w:ascii="B Nazanin" w:eastAsia="B Nazanin" w:hAnsi="B Nazanin" w:cs="B Nazanin"/>
      <w:color w:val="1F4D78"/>
      <w:sz w:val="28"/>
      <w:szCs w:val="28"/>
      <w:lang w:bidi="fa-IR"/>
    </w:rPr>
  </w:style>
  <w:style w:type="paragraph" w:styleId="Title">
    <w:name w:val="Title"/>
    <w:link w:val="TitleChar"/>
    <w:uiPriority w:val="10"/>
    <w:qFormat/>
    <w:rsid w:val="001A13A7"/>
    <w:pPr>
      <w:spacing w:after="0" w:line="240" w:lineRule="auto"/>
    </w:pPr>
    <w:rPr>
      <w:rFonts w:ascii="B Nazanin" w:eastAsia="B Nazanin" w:hAnsi="B Nazanin" w:cs="B Nazanin"/>
      <w:sz w:val="56"/>
      <w:szCs w:val="56"/>
      <w:lang w:bidi="fa-IR"/>
    </w:rPr>
  </w:style>
  <w:style w:type="character" w:customStyle="1" w:styleId="TitleChar">
    <w:name w:val="Title Char"/>
    <w:basedOn w:val="DefaultParagraphFont"/>
    <w:link w:val="Title"/>
    <w:uiPriority w:val="10"/>
    <w:rsid w:val="001A13A7"/>
    <w:rPr>
      <w:rFonts w:ascii="B Nazanin" w:eastAsia="B Nazanin" w:hAnsi="B Nazanin" w:cs="B Nazanin"/>
      <w:sz w:val="56"/>
      <w:szCs w:val="56"/>
      <w:lang w:bidi="fa-IR"/>
    </w:rPr>
  </w:style>
  <w:style w:type="paragraph" w:customStyle="1" w:styleId="Strong1">
    <w:name w:val="Strong1"/>
    <w:qFormat/>
    <w:rsid w:val="001A13A7"/>
    <w:pPr>
      <w:spacing w:after="0" w:line="240" w:lineRule="auto"/>
    </w:pPr>
    <w:rPr>
      <w:rFonts w:ascii="B Nazanin" w:eastAsia="B Nazanin" w:hAnsi="B Nazanin" w:cs="B Nazanin"/>
      <w:b/>
      <w:bCs/>
      <w:sz w:val="28"/>
      <w:szCs w:val="28"/>
      <w:lang w:bidi="fa-IR"/>
    </w:rPr>
  </w:style>
  <w:style w:type="paragraph" w:styleId="ListParagraph">
    <w:name w:val="List Paragraph"/>
    <w:qFormat/>
    <w:rsid w:val="001A13A7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Hyperlink">
    <w:name w:val="Hyperlink"/>
    <w:uiPriority w:val="99"/>
    <w:unhideWhenUsed/>
    <w:rsid w:val="001A13A7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1A13A7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1A13A7"/>
    <w:pPr>
      <w:spacing w:after="0" w:line="240" w:lineRule="auto"/>
    </w:pPr>
    <w:rPr>
      <w:rFonts w:ascii="B Nazanin" w:eastAsia="B Nazanin" w:hAnsi="B Nazanin" w:cs="B Nazanin"/>
      <w:sz w:val="20"/>
      <w:szCs w:val="20"/>
      <w:lang w:bidi="fa-IR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A13A7"/>
    <w:rPr>
      <w:rFonts w:ascii="B Nazanin" w:eastAsia="B Nazanin" w:hAnsi="B Nazanin" w:cs="B Nazanin"/>
      <w:sz w:val="20"/>
      <w:szCs w:val="20"/>
      <w:lang w:bidi="fa-IR"/>
    </w:rPr>
  </w:style>
  <w:style w:type="character" w:styleId="EndnoteReference">
    <w:name w:val="endnote reference"/>
    <w:uiPriority w:val="99"/>
    <w:semiHidden/>
    <w:unhideWhenUsed/>
    <w:rsid w:val="001A13A7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1A13A7"/>
    <w:pPr>
      <w:spacing w:after="0" w:line="240" w:lineRule="auto"/>
    </w:pPr>
    <w:rPr>
      <w:rFonts w:ascii="B Nazanin" w:eastAsia="B Nazanin" w:hAnsi="B Nazanin" w:cs="B Nazanin"/>
      <w:sz w:val="20"/>
      <w:szCs w:val="20"/>
      <w:lang w:bidi="fa-IR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A13A7"/>
    <w:rPr>
      <w:rFonts w:ascii="B Nazanin" w:eastAsia="B Nazanin" w:hAnsi="B Nazanin" w:cs="B Nazanin"/>
      <w:sz w:val="20"/>
      <w:szCs w:val="20"/>
      <w:lang w:bidi="fa-IR"/>
    </w:rPr>
  </w:style>
  <w:style w:type="paragraph" w:customStyle="1" w:styleId="TableCaption">
    <w:name w:val="TableCaption"/>
    <w:rsid w:val="001A13A7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FigureCaption">
    <w:name w:val="FigureCaption"/>
    <w:rsid w:val="001A13A7"/>
    <w:pPr>
      <w:bidi/>
      <w:spacing w:after="0" w:line="240" w:lineRule="auto"/>
      <w:jc w:val="right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FrontTitle">
    <w:name w:val="FrontTitle"/>
    <w:rsid w:val="001A13A7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8"/>
      <w:szCs w:val="28"/>
      <w:rtl/>
      <w:lang w:bidi="fa-IR"/>
    </w:rPr>
  </w:style>
  <w:style w:type="paragraph" w:customStyle="1" w:styleId="CaptionSource">
    <w:name w:val="CaptionSource"/>
    <w:rsid w:val="001A13A7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styleId="TOC1">
    <w:name w:val="toc 1"/>
    <w:rsid w:val="001A13A7"/>
    <w:pPr>
      <w:bidi/>
      <w:spacing w:after="40" w:line="276" w:lineRule="auto"/>
    </w:pPr>
    <w:rPr>
      <w:rFonts w:ascii="B Nazanin" w:eastAsia="B Nazanin" w:hAnsi="B Nazanin" w:cs="B Nazanin"/>
      <w:sz w:val="28"/>
      <w:szCs w:val="28"/>
      <w:rtl/>
      <w:lang w:bidi="fa-IR"/>
    </w:rPr>
  </w:style>
  <w:style w:type="paragraph" w:styleId="TOC2">
    <w:name w:val="toc 2"/>
    <w:rsid w:val="001A13A7"/>
    <w:pPr>
      <w:bidi/>
      <w:spacing w:after="40" w:line="276" w:lineRule="auto"/>
      <w:ind w:left="400"/>
    </w:pPr>
    <w:rPr>
      <w:rFonts w:ascii="B Nazanin" w:eastAsia="B Nazanin" w:hAnsi="B Nazanin" w:cs="B Nazanin"/>
      <w:sz w:val="28"/>
      <w:szCs w:val="28"/>
      <w:rtl/>
      <w:lang w:bidi="fa-IR"/>
    </w:rPr>
  </w:style>
  <w:style w:type="paragraph" w:styleId="TOC3">
    <w:name w:val="toc 3"/>
    <w:rsid w:val="001A13A7"/>
    <w:pPr>
      <w:bidi/>
      <w:spacing w:after="40" w:line="276" w:lineRule="auto"/>
      <w:ind w:left="800"/>
    </w:pPr>
    <w:rPr>
      <w:rFonts w:ascii="B Nazanin" w:eastAsia="B Nazanin" w:hAnsi="B Nazanin" w:cs="B Nazanin"/>
      <w:sz w:val="28"/>
      <w:szCs w:val="28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Sheet4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a-IR"/>
  <c:roundedCorners val="0"/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فراوانی</c:v>
                </c:pt>
              </c:strCache>
            </c:strRef>
          </c:tx>
          <c:spPr>
            <a:ln w="19050">
              <a:solidFill>
                <a:srgbClr val="FFFFFF"/>
              </a:solidFill>
            </a:ln>
          </c:spPr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dLbl>
              <c:idx val="0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1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‏۲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۲۸٫۶٪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‏۳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۴۲٫۹٪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spPr>
              <a:noFill/>
              <a:ln>
                <a:noFill/>
              </a:ln>
            </c:spPr>
            <c:txPr>
              <a:bodyPr rot="0" spcFirstLastPara="1" vertOverflow="ellipsis" vert="horz" wrap="square" anchor="ctr" anchorCtr="1"/>
              <a:lstStyle/>
              <a:p>
                <a:pPr rtl="1">
                  <a:defRPr lang="fa-IR" sz="1200" b="0" i="0" u="none" strike="noStrike" baseline="0">
                    <a:solidFill>
                      <a:srgbClr val="0B0B0B"/>
                    </a:solidFill>
                    <a:latin typeface="B Nazanin"/>
                    <a:ea typeface="B Nazanin"/>
                    <a:cs typeface="B Nazanin"/>
                  </a:defRPr>
                </a:pPr>
                <a:endParaRPr lang="fa-I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>
                  <a:solidFill>
                    <a:srgbClr val="898781"/>
                  </a:solidFill>
                </a:ln>
              </c:spPr>
            </c:leaderLines>
          </c:dLbls>
          <c:cat>
            <c:strRef>
              <c:f>Sheet1!$A$2:$A$5</c:f>
              <c:strCache>
                <c:ptCount val="4"/>
                <c:pt idx="0">
                  <c:v>عضو هیئت علمی</c:v>
                </c:pt>
                <c:pt idx="1">
                  <c:v>مدیر فروش</c:v>
                </c:pt>
                <c:pt idx="2">
                  <c:v>کارشناس فروش</c:v>
                </c:pt>
                <c:pt idx="3">
                  <c:v>کارشناس برنامه‌ریزی تولید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1</c:v>
                </c:pt>
              </c:numCache>
            </c:numRef>
          </c:val>
        </c:ser>
        <c:firstSliceAng val="0"/>
      </c:pieChart>
      <c:spPr>
        <a:noFill/>
        <a:ln>
          <a:noFill/>
        </a:ln>
      </c:spPr>
    </c:plotArea>
    <c:legend>
      <c:legendPos val="r"/>
      <c:overlay val="0"/>
      <c:spPr>
        <a:noFill/>
        <a:ln>
          <a:noFill/>
        </a:ln>
      </c:spPr>
      <c:txPr>
        <a:bodyPr rot="0" spcFirstLastPara="1" vertOverflow="ellipsis" vert="horz" wrap="square" anchor="ctr" anchorCtr="1"/>
        <a:lstStyle/>
        <a:p>
          <a:pPr rtl="1">
            <a:defRPr lang="fa-IR" sz="1200" b="0" i="0" u="none" strike="noStrike" baseline="0">
              <a:solidFill>
                <a:srgbClr val="0B0B0B"/>
              </a:solidFill>
              <a:latin typeface="B Nazanin"/>
              <a:ea typeface="B Nazanin"/>
              <a:cs typeface="B Nazanin"/>
            </a:defRPr>
          </a:pPr>
          <a:endParaRPr lang="fa-IR"/>
        </a:p>
      </c:txPr>
    </c:legend>
    <c:plotVisOnly val="1"/>
    <c:dispBlanksAs val="gap"/>
  </c:chart>
  <c:spPr>
    <a:noFill/>
    <a:ln>
      <a:noFill/>
    </a:ln>
  </c:spPr>
  <c:txPr>
    <a:bodyPr rot="0" spcFirstLastPara="1" vertOverflow="ellipsis" vert="horz" wrap="square" anchor="ctr" anchorCtr="1"/>
    <a:lstStyle/>
    <a:p>
      <a:pPr rtl="1">
        <a:defRPr lang="fa-IR" sz="1200" b="0" i="0" u="none" strike="noStrike" baseline="0">
          <a:solidFill>
            <a:srgbClr val="0B0B0B"/>
          </a:solidFill>
          <a:latin typeface="B Nazanin"/>
          <a:ea typeface="B Nazanin"/>
          <a:cs typeface="B Nazanin"/>
        </a:defRPr>
      </a:pPr>
      <a:endParaRPr lang="fa-IR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a-IR"/>
  <c:roundedCorners val="0"/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فراوانی</c:v>
                </c:pt>
              </c:strCache>
            </c:strRef>
          </c:tx>
          <c:spPr>
            <a:ln w="19050">
              <a:solidFill>
                <a:srgbClr val="FFFFFF"/>
              </a:solidFill>
            </a:ln>
          </c:spPr>
          <c:dPt>
            <c:idx val="0"/>
            <c:bubble3D val="0"/>
            <c:spPr>
              <a:solidFill>
                <a:srgbClr val="104281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256ABF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5598E7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86B6EF"/>
              </a:solidFill>
              <a:ln w="19050">
                <a:solidFill>
                  <a:srgbClr val="FFFFFF"/>
                </a:solidFill>
              </a:ln>
            </c:spPr>
          </c:dPt>
          <c:dLbls>
            <c:dLbl>
              <c:idx val="0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‏۳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۴۲٫۹٪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1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‏۲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۲۸٫۶٪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spPr>
              <a:noFill/>
              <a:ln>
                <a:noFill/>
              </a:ln>
            </c:spPr>
            <c:txPr>
              <a:bodyPr rot="0" spcFirstLastPara="1" vertOverflow="ellipsis" vert="horz" wrap="square" anchor="ctr" anchorCtr="1"/>
              <a:lstStyle/>
              <a:p>
                <a:pPr rtl="1">
                  <a:defRPr lang="fa-IR" sz="1200" b="0" i="0" u="none" strike="noStrike" baseline="0">
                    <a:solidFill>
                      <a:srgbClr val="0B0B0B"/>
                    </a:solidFill>
                    <a:latin typeface="B Nazanin"/>
                    <a:ea typeface="B Nazanin"/>
                    <a:cs typeface="B Nazanin"/>
                  </a:defRPr>
                </a:pPr>
                <a:endParaRPr lang="fa-I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>
                  <a:solidFill>
                    <a:srgbClr val="898781"/>
                  </a:solidFill>
                </a:ln>
              </c:spPr>
            </c:leaderLines>
          </c:dLbls>
          <c:cat>
            <c:strRef>
              <c:f>Sheet1!$A$2:$A$5</c:f>
              <c:strCache>
                <c:ptCount val="4"/>
                <c:pt idx="0">
                  <c:v>دکترا</c:v>
                </c:pt>
                <c:pt idx="1">
                  <c:v>کارشناسی ارشد</c:v>
                </c:pt>
                <c:pt idx="2">
                  <c:v>کارشناسی</c:v>
                </c:pt>
                <c:pt idx="3">
                  <c:v>دیپلم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</c:v>
                </c:pt>
                <c:pt idx="1">
                  <c:v>1</c:v>
                </c:pt>
                <c:pt idx="2">
                  <c:v>1</c:v>
                </c:pt>
                <c:pt idx="3">
                  <c:v>2</c:v>
                </c:pt>
              </c:numCache>
            </c:numRef>
          </c:val>
        </c:ser>
        <c:firstSliceAng val="0"/>
      </c:pieChart>
      <c:spPr>
        <a:noFill/>
        <a:ln>
          <a:noFill/>
        </a:ln>
      </c:spPr>
    </c:plotArea>
    <c:legend>
      <c:legendPos val="r"/>
      <c:overlay val="0"/>
      <c:spPr>
        <a:noFill/>
        <a:ln>
          <a:noFill/>
        </a:ln>
      </c:spPr>
      <c:txPr>
        <a:bodyPr rot="0" spcFirstLastPara="1" vertOverflow="ellipsis" vert="horz" wrap="square" anchor="ctr" anchorCtr="1"/>
        <a:lstStyle/>
        <a:p>
          <a:pPr rtl="1">
            <a:defRPr lang="fa-IR" sz="1200" b="0" i="0" u="none" strike="noStrike" baseline="0">
              <a:solidFill>
                <a:srgbClr val="0B0B0B"/>
              </a:solidFill>
              <a:latin typeface="B Nazanin"/>
              <a:ea typeface="B Nazanin"/>
              <a:cs typeface="B Nazanin"/>
            </a:defRPr>
          </a:pPr>
          <a:endParaRPr lang="fa-IR"/>
        </a:p>
      </c:txPr>
    </c:legend>
    <c:plotVisOnly val="1"/>
    <c:dispBlanksAs val="gap"/>
  </c:chart>
  <c:spPr>
    <a:noFill/>
    <a:ln>
      <a:noFill/>
    </a:ln>
  </c:spPr>
  <c:txPr>
    <a:bodyPr rot="0" spcFirstLastPara="1" vertOverflow="ellipsis" vert="horz" wrap="square" anchor="ctr" anchorCtr="1"/>
    <a:lstStyle/>
    <a:p>
      <a:pPr rtl="1">
        <a:defRPr lang="fa-IR" sz="1200" b="0" i="0" u="none" strike="noStrike" baseline="0">
          <a:solidFill>
            <a:srgbClr val="0B0B0B"/>
          </a:solidFill>
          <a:latin typeface="B Nazanin"/>
          <a:ea typeface="B Nazanin"/>
          <a:cs typeface="B Nazanin"/>
        </a:defRPr>
      </a:pPr>
      <a:endParaRPr lang="fa-IR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a-IR"/>
  <c:roundedCorners val="0"/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فراوانی</c:v>
                </c:pt>
              </c:strCache>
            </c:strRef>
          </c:tx>
          <c:spPr>
            <a:ln w="19050">
              <a:solidFill>
                <a:srgbClr val="FFFFFF"/>
              </a:solidFill>
            </a:ln>
          </c:spPr>
          <c:dPt>
            <c:idx val="0"/>
            <c:bubble3D val="0"/>
            <c:spPr>
              <a:solidFill>
                <a:srgbClr val="86B6EF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5598E7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256ABF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104281"/>
              </a:solidFill>
              <a:ln w="19050">
                <a:solidFill>
                  <a:srgbClr val="FFFFFF"/>
                </a:solidFill>
              </a:ln>
            </c:spPr>
          </c:dPt>
          <c:dLbls>
            <c:dLbl>
              <c:idx val="0"/>
              <c:delete val="1"/>
            </c:dLbl>
            <c:dLbl>
              <c:idx val="1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‏۴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۵۷٫۱٪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‏۳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۴۲٫۹٪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delete val="1"/>
            </c:dLbl>
            <c:spPr>
              <a:noFill/>
              <a:ln>
                <a:noFill/>
              </a:ln>
            </c:spPr>
            <c:txPr>
              <a:bodyPr rot="0" spcFirstLastPara="1" vertOverflow="ellipsis" vert="horz" wrap="square" anchor="ctr" anchorCtr="1"/>
              <a:lstStyle/>
              <a:p>
                <a:pPr rtl="1">
                  <a:defRPr lang="fa-IR" sz="1200" b="0" i="0" u="none" strike="noStrike" baseline="0">
                    <a:solidFill>
                      <a:srgbClr val="0B0B0B"/>
                    </a:solidFill>
                    <a:latin typeface="B Nazanin"/>
                    <a:ea typeface="B Nazanin"/>
                    <a:cs typeface="B Nazanin"/>
                  </a:defRPr>
                </a:pPr>
                <a:endParaRPr lang="fa-I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>
                  <a:solidFill>
                    <a:srgbClr val="898781"/>
                  </a:solidFill>
                </a:ln>
              </c:spPr>
            </c:leaderLines>
          </c:dLbls>
          <c:cat>
            <c:strRef>
              <c:f>Sheet1!$A$2:$A$5</c:f>
              <c:strCache>
                <c:ptCount val="4"/>
                <c:pt idx="0">
                  <c:v>کمتر از ۵ سال</c:v>
                </c:pt>
                <c:pt idx="1">
                  <c:v>‏۵ تا ۱۰ سال</c:v>
                </c:pt>
                <c:pt idx="2">
                  <c:v>‏۱۱ تا ۲۰ سال</c:v>
                </c:pt>
                <c:pt idx="3">
                  <c:v>بیش از ۲۰ سال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  <c:pt idx="1">
                  <c:v>4</c:v>
                </c:pt>
                <c:pt idx="2">
                  <c:v>3</c:v>
                </c:pt>
                <c:pt idx="3">
                  <c:v>0</c:v>
                </c:pt>
              </c:numCache>
            </c:numRef>
          </c:val>
        </c:ser>
        <c:firstSliceAng val="0"/>
      </c:pieChart>
      <c:spPr>
        <a:noFill/>
        <a:ln>
          <a:noFill/>
        </a:ln>
      </c:spPr>
    </c:plotArea>
    <c:legend>
      <c:legendPos val="r"/>
      <c:overlay val="0"/>
      <c:spPr>
        <a:noFill/>
        <a:ln>
          <a:noFill/>
        </a:ln>
      </c:spPr>
      <c:txPr>
        <a:bodyPr rot="0" spcFirstLastPara="1" vertOverflow="ellipsis" vert="horz" wrap="square" anchor="ctr" anchorCtr="1"/>
        <a:lstStyle/>
        <a:p>
          <a:pPr rtl="1">
            <a:defRPr lang="fa-IR" sz="1200" b="0" i="0" u="none" strike="noStrike" baseline="0">
              <a:solidFill>
                <a:srgbClr val="0B0B0B"/>
              </a:solidFill>
              <a:latin typeface="B Nazanin"/>
              <a:ea typeface="B Nazanin"/>
              <a:cs typeface="B Nazanin"/>
            </a:defRPr>
          </a:pPr>
          <a:endParaRPr lang="fa-IR"/>
        </a:p>
      </c:txPr>
    </c:legend>
    <c:plotVisOnly val="1"/>
    <c:dispBlanksAs val="gap"/>
  </c:chart>
  <c:spPr>
    <a:noFill/>
    <a:ln>
      <a:noFill/>
    </a:ln>
  </c:spPr>
  <c:txPr>
    <a:bodyPr rot="0" spcFirstLastPara="1" vertOverflow="ellipsis" vert="horz" wrap="square" anchor="ctr" anchorCtr="1"/>
    <a:lstStyle/>
    <a:p>
      <a:pPr rtl="1">
        <a:defRPr lang="fa-IR" sz="1200" b="0" i="0" u="none" strike="noStrike" baseline="0">
          <a:solidFill>
            <a:srgbClr val="0B0B0B"/>
          </a:solidFill>
          <a:latin typeface="B Nazanin"/>
          <a:ea typeface="B Nazanin"/>
          <a:cs typeface="B Nazanin"/>
        </a:defRPr>
      </a:pPr>
      <a:endParaRPr lang="fa-IR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a-IR"/>
  <c:roundedCorners val="0"/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فراوانی</c:v>
                </c:pt>
              </c:strCache>
            </c:strRef>
          </c:tx>
          <c:spPr>
            <a:ln w="19050">
              <a:solidFill>
                <a:srgbClr val="FFFFFF"/>
              </a:solidFill>
            </a:ln>
          </c:spPr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C3C2B7"/>
              </a:solidFill>
              <a:ln w="19050">
                <a:solidFill>
                  <a:srgbClr val="FFFFFF"/>
                </a:solidFill>
              </a:ln>
            </c:spPr>
          </c:dPt>
          <c:dLbls>
            <c:dLbl>
              <c:idx val="0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1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‏۲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۲۸٫۶٪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‏۳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۴۲٫۹٪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spPr>
              <a:noFill/>
              <a:ln>
                <a:noFill/>
              </a:ln>
            </c:spPr>
            <c:txPr>
              <a:bodyPr rot="0" spcFirstLastPara="1" vertOverflow="ellipsis" vert="horz" wrap="square" anchor="ctr" anchorCtr="1"/>
              <a:lstStyle/>
              <a:p>
                <a:pPr rtl="1">
                  <a:defRPr lang="fa-IR" sz="1200" b="0" i="0" u="none" strike="noStrike" baseline="0">
                    <a:solidFill>
                      <a:srgbClr val="0B0B0B"/>
                    </a:solidFill>
                    <a:latin typeface="B Nazanin"/>
                    <a:ea typeface="B Nazanin"/>
                    <a:cs typeface="B Nazanin"/>
                  </a:defRPr>
                </a:pPr>
                <a:endParaRPr lang="fa-I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>
                  <a:solidFill>
                    <a:srgbClr val="898781"/>
                  </a:solidFill>
                </a:ln>
              </c:spPr>
            </c:leaderLines>
          </c:dLbls>
          <c:cat>
            <c:strRef>
              <c:f>Sheet1!$A$2:$A$5</c:f>
              <c:strCache>
                <c:ptCount val="4"/>
                <c:pt idx="0">
                  <c:v>فرآورده‌های لبنی</c:v>
                </c:pt>
                <c:pt idx="1">
                  <c:v>کره</c:v>
                </c:pt>
                <c:pt idx="2">
                  <c:v>حلوا ارده</c:v>
                </c:pt>
                <c:pt idx="3">
                  <c:v>ثبت‌نشده / سایر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1</c:v>
                </c:pt>
                <c:pt idx="3">
                  <c:v>3</c:v>
                </c:pt>
              </c:numCache>
            </c:numRef>
          </c:val>
        </c:ser>
        <c:firstSliceAng val="0"/>
      </c:pieChart>
      <c:spPr>
        <a:noFill/>
        <a:ln>
          <a:noFill/>
        </a:ln>
      </c:spPr>
    </c:plotArea>
    <c:legend>
      <c:legendPos val="r"/>
      <c:overlay val="0"/>
      <c:spPr>
        <a:noFill/>
        <a:ln>
          <a:noFill/>
        </a:ln>
      </c:spPr>
      <c:txPr>
        <a:bodyPr rot="0" spcFirstLastPara="1" vertOverflow="ellipsis" vert="horz" wrap="square" anchor="ctr" anchorCtr="1"/>
        <a:lstStyle/>
        <a:p>
          <a:pPr rtl="1">
            <a:defRPr lang="fa-IR" sz="1200" b="0" i="0" u="none" strike="noStrike" baseline="0">
              <a:solidFill>
                <a:srgbClr val="0B0B0B"/>
              </a:solidFill>
              <a:latin typeface="B Nazanin"/>
              <a:ea typeface="B Nazanin"/>
              <a:cs typeface="B Nazanin"/>
            </a:defRPr>
          </a:pPr>
          <a:endParaRPr lang="fa-IR"/>
        </a:p>
      </c:txPr>
    </c:legend>
    <c:plotVisOnly val="1"/>
    <c:dispBlanksAs val="gap"/>
  </c:chart>
  <c:spPr>
    <a:noFill/>
    <a:ln>
      <a:noFill/>
    </a:ln>
  </c:spPr>
  <c:txPr>
    <a:bodyPr rot="0" spcFirstLastPara="1" vertOverflow="ellipsis" vert="horz" wrap="square" anchor="ctr" anchorCtr="1"/>
    <a:lstStyle/>
    <a:p>
      <a:pPr rtl="1">
        <a:defRPr lang="fa-IR" sz="1200" b="0" i="0" u="none" strike="noStrike" baseline="0">
          <a:solidFill>
            <a:srgbClr val="0B0B0B"/>
          </a:solidFill>
          <a:latin typeface="B Nazanin"/>
          <a:ea typeface="B Nazanin"/>
          <a:cs typeface="B Nazanin"/>
        </a:defRPr>
      </a:pPr>
      <a:endParaRPr lang="fa-IR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2638</Words>
  <Characters>15038</Characters>
  <Application>Microsoft Office Word</Application>
  <DocSecurity>0</DocSecurity>
  <Lines>125</Lines>
  <Paragraphs>35</Paragraphs>
  <ScaleCrop>false</ScaleCrop>
  <Company/>
  <LinksUpToDate>false</LinksUpToDate>
  <CharactersWithSpaces>17641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taha abdollahi</dc:creator>
  <cp:keywords/>
  <dc:description/>
  <cp:lastModifiedBy>taha abdollahi</cp:lastModifiedBy>
  <cp:revision>3</cp:revision>
  <dcterms:created xsi:type="dcterms:W3CDTF">2026-10-20T18:36:00Z</dcterms:created>
  <dcterms:modified xsi:type="dcterms:W3CDTF">2026-10-20T21:30:00Z</dcterms:modified>
</cp:coreProperties>
</file>