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pPr>
        <w:bidi/>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pPr>
        <w:bidi/>
        <w:jc w:val="both"/>
      </w:pPr>
      <w:r>
        <w:rPr>
          <w:rtl/>
        </w:rPr>
        <w:t xml:space="preserve">نعیم و همکاران (۲۰۲۳)</w:t>
      </w:r>
      <w:r>
        <w:rPr>
          <w:rStyle w:val="FootnoteReference"/>
        </w:rPr>
        <w:footnoteReference w:id="58"/>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59"/>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pPr>
        <w:bidi/>
        <w:jc w:val="both"/>
      </w:pPr>
      <w:r>
        <w:rPr>
          <w:rtl/>
        </w:rPr>
        <w:t xml:space="preserve">مرور پیشینه تجربی، در کنار مبانی نظری، دو نقش مکمل ایفا می‌کند: نخست، نشان دادن تداوم موضوعی میان مطالعات پیشین و پرسش پژوهش حاضر؛ دوم، آشکارسازی دقیق شکاف یا شکاف‌هایی که پژوهش حاضر در پی پوشش آن‌هاست. برای آنکه این مقایسه روشن و منسجم باشد، از میان مطالعات موجود تنها پژوهش‌هایی مرور می‌شوند که همگی به یک پرسش مشترک می‌پردازند: اثر یک عامل (مانع، راهبرد بازاریابی یا دامنه محصول) بر فروش و عملکرد بنگاه‌ها، چه در بنگاه‌هایی که دامنه محصول آن‌ها محدود است و چه در فروش به‌طور کلی. این بخش، با پیروی از همین منطق، نخست پیشینه داخلی و سپس پیشینه خارجی را مرور می‌کند.</w:t>
      </w:r>
    </w:p>
    <w:p w14:paraId="15102B80" w14:textId="77777777" w:rsidR="0054358E" w:rsidRDefault="00F84D72">
      <w:pPr>
        <w:pStyle w:val="Heading3"/>
        <w:keepNext/>
        <w:bidi/>
        <w:spacing w:before="180" w:after="80"/>
        <w:jc w:val="lowKashida"/>
      </w:pPr>
      <w:r>
        <w:t>۲-۳-۱ پیشینه‌های داخل کشور</w:t>
      </w:r>
    </w:p>
    <w:p>
      <w:pPr>
        <w:bidi/>
        <w:jc w:val="both"/>
      </w:pPr>
      <w:r>
        <w:rPr>
          <w:rtl/>
        </w:rPr>
        <w:t xml:space="preserve">پژوهشگران ایرانی در سال‌های اخیر توجه فزاینده‌ای به موانع و عوامل مؤثر بر فروش، توزیع و بازاریابی در صنعت مواد غذایی نشان داده‌اند؛ این بخش، پنج پژوهش داخلی را که میان سال‌های ۱۴۰۰ تا ۱۴۰۴ منتشر شده‌اند و هر یک عاملی را در پیوند با فروش محصولات غذایی بررسی کرده‌اند معرفی می‌کند. پژوهش‌ها بر پایه سال انتشار، از جدید به قدیم مرور می‌شوند.</w:t>
      </w:r>
    </w:p>
    <w:p>
      <w:pPr>
        <w:bidi/>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دسته گروه‌بندی شد که بازاریابی دیجیتال در شمار آن‌هاست.</w:t>
      </w:r>
      <w:r>
        <w:rPr>
          <w:rtl/>
        </w:rPr>
        <w:t xml:space="preserve"> این پژوهش عوامل اثرگذار بر انتخاب راهبرد توزیع و فروش آنلاین را در صنایع غذایی نشان می‌دهد؛ واحد تحلیل آن صنایع غذایی در کل است، نه بنگاه تک‌محصولی.</w:t>
      </w:r>
    </w:p>
    <w:p>
      <w:pPr>
        <w:bidi/>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 از نظر رویکرد، یعنی دلفی و اولویت‌بندی موانع فروش، به پژوهش حاضر نزدیک است.</w:t>
      </w:r>
    </w:p>
    <w:p>
      <w:pPr>
        <w:bidi/>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این پژوهش، با تمرکز بر محصول و بازار آن، یعنی رقابت‌پذیری، اعتبار برند و سهم بازار، با محور فروش بنگاه محصول‌محور پیوند دارد؛ اما بنگاه تک‌محصولی را واحد تحلیل قرار نداده است.</w:t>
      </w:r>
    </w:p>
    <w:p>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jc w:val="both"/>
      </w:pPr>
      <w:r>
        <w:rPr>
          <w:rtl/>
        </w:rPr>
        <w:t xml:space="preserve">مجموع این پنج پژوهش، عوامل مؤثر بر فروش محصولات غذایی ایران را از دو زاویه بررسی کرده‌اند: موانع فروش (اسکندری و همکاران، ۱۴۰۴؛ صفری و اسماعیل‌نژاد، ۱۴۰۳) و راهبردها و کانال‌های بازاریابی و توزیع (سیدغفوری و همکاران، ۱۴۰۳؛ محمدی و همکاران، ۱۴۰۱؛ نجاتی، ۱۴۰۰). با این حال، هیچ‌یک از این مطالعات شرکت تک‌محصولی را به‌طور اختصاصی و با رویکرد اکتشافی به‌عنوان واحد تحلیل مستقل در نظر نگرفته‌اند؛ خلأیی که پژوهش حاضر در پی پوشش آن است. از منظر روش‌شناختی، پژوهش‌های داخلی مرورشده در این بخش عمدتاً از رویکردهای ترکیبی یا کمّی بهره گرفته‌اند. پژوهش حاضر، با استخراج فهرست چالش‌ها از پاسخ باز خبرگان در دور نخست دلفی و وزن‌دهی آن در دورهای بعد، مرحله نخست خود را اکتشافی و کیفی قرار داده است؛ این ویژگی، یکی از وجوه تمایز آن از پژوهش‌های داخلی مرورشده در این بخش است.</w:t>
      </w:r>
    </w:p>
    <w:p w14:paraId="65F5C17F" w14:textId="77777777" w:rsidR="0054358E" w:rsidRDefault="00F84D72">
      <w:pPr>
        <w:pStyle w:val="Heading3"/>
        <w:keepNext/>
        <w:bidi/>
        <w:spacing w:before="180" w:after="80"/>
        <w:jc w:val="lowKashida"/>
      </w:pPr>
      <w:r>
        <w:t>۲-۳-۲ پیشینه‌های خارج از کشور</w:t>
      </w:r>
    </w:p>
    <w:p>
      <w:pPr>
        <w:bidi/>
        <w:jc w:val="both"/>
      </w:pPr>
      <w:r>
        <w:rPr>
          <w:rtl/>
        </w:rPr>
        <w:t xml:space="preserve">پژوهش‌های خارجی مرورشده در این بخش نیز، مانند پژوهش‌های داخلی، به اثر عامل‌هایی بر فروش، رشد، عملکرد یا ریسک بنگاه‌ها می‌پردازند، اما از نظر قلمرو جغرافیایی تنوع بیشتری دارند و بافت‌هایی از جمله اردن، هند و ایالات متحده را پوشش می‌دهند. تعمیم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jc w:val="both"/>
      </w:pPr>
      <w:r>
        <w:rPr>
          <w:rtl/>
        </w:rPr>
        <w:t xml:space="preserve">ادبیات بین‌المللی مرتبط را می‌توان در دو محور خلاصه کرد: نخست، اثر بازاریابی دیجیتال و موانع رشد بر عملکرد بنگاه‌های کوچک و صنایع غذایی؛ دوم، اثر دامنه محصول، یعنی تنوع‌بخشی یا تخصص‌گرایی، بر ریسک و عملکرد بنگاه. هر دو محور با وضعیت بنگاه تک‌محصولی پیوند دارند: بازاریابی و رشد راه‌های افزایش فروش یک بنگاه کوچک‌اند، و دامنه محصول ریسک و عملکرد آن را شکل می‌دهد. پژوهش‌ها بر پایه سال انتشار، از جدید به قدیم مرور می‌شوند.</w:t>
      </w:r>
    </w:p>
    <w:p>
      <w:pPr>
        <w:bidi/>
        <w:jc w:val="both"/>
      </w:pPr>
      <w:r>
        <w:rPr>
          <w:rtl/>
        </w:rPr>
        <w:t xml:space="preserve">لاندجوهو و کریستوفر (۲۰۲۶)</w:t>
      </w:r>
      <w:r>
        <w:rPr>
          <w:rStyle w:val="FootnoteReference"/>
        </w:rPr>
        <w:footnoteReference w:id="60"/>
      </w:r>
      <w:r>
        <w:rPr>
          <w:rtl/>
        </w:rPr>
        <w:t xml:space="preserve"> در مروری نظام‌مند با عنوان «تأثیر بازاریابی دیجیتال بر رشد بنگاه‌های کوچک و متوسط (SMEs): مرور نظام‌مند»، که ۵۲ پژوهش تجربی را بررسی کرده است، رابطه مثبت پذیرش بازاریابی دیجیتال با رشد بنگاه‌های کوچک و متوسط را گزارش کردند.</w:t>
      </w:r>
    </w:p>
    <w:p>
      <w:pPr>
        <w:bidi/>
        <w:jc w:val="both"/>
      </w:pPr>
      <w:r>
        <w:rPr>
          <w:rtl/>
        </w:rPr>
        <w:t xml:space="preserve">شرابتی و همکاران (۲۰۲۴)</w:t>
      </w:r>
      <w:r>
        <w:rPr>
          <w:rStyle w:val="FootnoteReference"/>
        </w:rPr>
        <w:footnoteReference w:id="61"/>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پژوهش و پژوهش لاندجوهو و کریستوفر (۲۰۲۶) هر دو اثر یک راهبرد بازاریابی را بر رشد و عملکرد بنگاه‌های کوچک می‌سنجند و بُعد دیجیتال فروش را برجسته می‌سازند.</w:t>
      </w:r>
    </w:p>
    <w:p>
      <w:pPr>
        <w:bidi/>
        <w:jc w:val="both"/>
      </w:pPr>
      <w:r>
        <w:rPr>
          <w:rtl/>
        </w:rPr>
        <w:t xml:space="preserve">سینگ، دولتانی و ساهو (۲۰۲۲)</w:t>
      </w:r>
      <w:r>
        <w:rPr>
          <w:rStyle w:val="FootnoteReference"/>
        </w:rPr>
        <w:footnoteReference w:id="6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r>
        <w:rPr>
          <w:rtl/>
        </w:rPr>
        <w:t xml:space="preserve"> این پژوهش، از نظر صنعت و روش، به پژوهش حاضر نزدیک است؛ موضوع آن اما موانع رشد بخش فرآوری مواد غذایی است، نه چالش‌های فروش بنگاه تک‌محصولی.</w:t>
      </w:r>
    </w:p>
    <w:p>
      <w:pPr>
        <w:bidi/>
        <w:jc w:val="both"/>
      </w:pPr>
      <w:r>
        <w:rPr>
          <w:rtl/>
        </w:rPr>
        <w:t xml:space="preserve">مامن، الساندری و ویس (۲۰۲۱)</w:t>
      </w:r>
      <w:r>
        <w:rPr>
          <w:rStyle w:val="FootnoteReference"/>
        </w:rPr>
        <w:footnoteReference w:id="63"/>
      </w:r>
      <w:r>
        <w:rPr>
          <w:rtl/>
        </w:rPr>
        <w:t xml:space="preserve"> در پژوهشی با عنوان «پیامدهای ریسک تنوع‌بخشی: تلفیق اثرات تنوع محصولی و جغرافیایی»، اثر تنوع محصولی و تنوع جغرافیایی را بر ریسک بنگاه در نمونه‌ای از بنگاه‌های بزرگ آمریکایی بررسی کردند و نشان دادند تنوع محصولی ریسک بنگاه را کاهش می‌دهد، حال آنکه تنوع جغرافیایی آن را افزایش می‌دهد. بنگاه تک‌محصولی، که هیچ تنوع محصولی ندارد، در یک سر این طیف قرار می‌گیرد.</w:t>
      </w:r>
    </w:p>
    <w:p>
      <w:pPr>
        <w:bidi/>
        <w:jc w:val="both"/>
      </w:pPr>
      <w:r>
        <w:rPr>
          <w:rtl/>
        </w:rPr>
        <w:t xml:space="preserve">ویلیامز و آرون (۲۰۱۸)</w:t>
      </w:r>
      <w:r>
        <w:rPr>
          <w:rStyle w:val="FootnoteReference"/>
        </w:rPr>
        <w:footnoteReference w:id="64"/>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بنگاه تک‌محصولی نمونه‌ای افراطی از چنین تخصص‌گرایی است؛ پژوهش یادشده اما بر رابطه تخصص‌گرایی با عملکرد بنگاه تمرکز دارد، نه بر چالش‌های فروش.</w:t>
      </w:r>
    </w:p>
    <w:p>
      <w:pPr>
        <w:bidi/>
        <w:jc w:val="both"/>
      </w:pPr>
      <w:r>
        <w:rPr>
          <w:rtl/>
        </w:rPr>
        <w:t xml:space="preserve">از منظر روش‌شناختی، پژوهش‌های خارجی مرورشده طیفی از رویکردها را در بر می‌گیرند: از مرور نظام‌مند و پیمایش تا دلفی و تحلیل داده‌های مالی بنگاه‌های بزرگ.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pPr>
        <w:bidi/>
        <w:jc w:val="both"/>
      </w:pPr>
      <w:r>
        <w:rPr>
          <w:rtl/>
        </w:rPr>
        <w:t xml:space="preserve">مرور مطالعات داخلی نشان می‌دهد که پژوهشگران ایرانی به موانع و عوامل مؤثر بر فروش، توزیع و بازاریابی در صنعت مواد غذایی توجه قابل‌توجهی داشته‌اند. با این حال، هیچ‌یک از این مطالعات شرکت تک‌محصولی را به‌عنوان یک گروه ساختاری متمایز، واحد تحلیل قرار نداده‌اند: اسکندری و همکاران (۱۴۰۴) زنجیره تأمین را در کل بررسی کرده‌اند، صفری و اسماعیل‌نژاد (۱۴۰۳) یک دسته محصول، یعنی محصولات سبز، را، و سیدغفوری و همکاران (۱۴۰۳)، محمدی و همکاران (۱۴۰۱) و نجاتی (۱۴۰۰) صنایع غذایی را در کل و با تمرکز بر توزیع و بازاریابی. مرور مطالعات خارجی نیز روشن می‌سازد که ادبیات بین‌المللی رابطه تمرکز محصولی و ریسک را عمدتاً در سطح مالی و با داده‌های بزرگ‌مقیاس دنبال کرده است؛ مامن و همکاران (۲۰۲۱)</w:t>
      </w:r>
      <w:r>
        <w:rPr>
          <w:rStyle w:val="FootnoteReference"/>
        </w:rPr>
        <w:footnoteReference w:id="65"/>
      </w:r>
      <w:r>
        <w:rPr>
          <w:rtl/>
        </w:rPr>
        <w:t xml:space="preserve"> این رابطه را در بنگاه‌های بزرگ آمریکایی سنجیده‌اند. پژوهش‌هایی هم که به فروش و عملکرد بنگاه‌های کوچک پرداخته‌اند، یعنی لاندجوهو و کریستوفر (۲۰۲۶)</w:t>
      </w:r>
      <w:r>
        <w:rPr>
          <w:rStyle w:val="FootnoteReference"/>
        </w:rPr>
        <w:footnoteReference w:id="66"/>
      </w:r>
      <w:r>
        <w:rPr>
          <w:rtl/>
        </w:rPr>
        <w:t xml:space="preserve">، شرابتی و همکاران (۲۰۲۴)</w:t>
      </w:r>
      <w:r>
        <w:rPr>
          <w:rStyle w:val="FootnoteReference"/>
        </w:rPr>
        <w:footnoteReference w:id="67"/>
      </w:r>
      <w:r>
        <w:rPr>
          <w:rtl/>
        </w:rPr>
        <w:t xml:space="preserve"> و سینگ و همکاران (۲۰۲۲)</w:t>
      </w:r>
      <w:r>
        <w:rPr>
          <w:rStyle w:val="FootnoteReference"/>
        </w:rPr>
        <w:footnoteReference w:id="68"/>
      </w:r>
      <w:r>
        <w:rPr>
          <w:rtl/>
        </w:rPr>
        <w:t xml:space="preserve">، بنگاه‌های کوچک یا صنعت را به‌طور کلی بررسی کرده‌اند، نه بنگاهی را که تمام درآمدش به یک محصول وابسته است. ترکیب یافته‌های داخلی و خارجی شکافی روشن را آشکار می‌سازد: نبود تحلیل اختصاصی و اکتشافی چالش‌های فروش شرکت‌های تک‌محصولی صنعت مواد غذایی ایران.</w:t>
      </w:r>
    </w:p>
    <w:p>
      <w:pPr>
        <w:bidi/>
        <w:jc w:val="both"/>
      </w:pPr>
      <w:r>
        <w:rPr>
          <w:rtl/>
        </w:rPr>
        <w:t xml:space="preserve">علاوه بر شکاف تجربی یادشده، شکافی در سطح تحلیل نیز در این مرور آشکار می‌شود. مامن و همکاران (۲۰۲۱)</w:t>
      </w:r>
      <w:r>
        <w:rPr>
          <w:rStyle w:val="FootnoteReference"/>
        </w:rPr>
        <w:footnoteReference w:id="69"/>
      </w:r>
      <w:r>
        <w:rPr>
          <w:rtl/>
        </w:rPr>
        <w:t xml:space="preserve"> اثر تنوع محصولی را بر ریسک بنگاه‌های بزرگ با داده‌های مالی سنجیده‌اند و ویلیامز و آرون (۲۰۱۸)</w:t>
      </w:r>
      <w:r>
        <w:rPr>
          <w:rStyle w:val="FootnoteReference"/>
        </w:rPr>
        <w:footnoteReference w:id="70"/>
      </w:r>
      <w:r>
        <w:rPr>
          <w:rtl/>
        </w:rPr>
        <w:t xml:space="preserve"> تخصص‌گرایی را گزینه‌ای راهبردی برای کسب‌وکارهای کوچک دانسته‌اند؛ هیچ‌یک اما نشان نمی‌دهد این تمرکز محصولی در عملیات روزمره فروش چه دشواری‌هایی پدید می‌آورد. پژوهش حاضر، با تمرکز اکتشافی بر تجربه زیسته فعالان صنعت مواد غذایی، تلاش می‌کند این سازوکار را در سطحی دقیق‌تر و زمینه‌مندتر آشکار سازد.</w:t>
      </w:r>
    </w:p>
    <w:p>
      <w:pPr>
        <w:bidi/>
        <w:jc w:val="both"/>
      </w:pPr>
      <w:r>
        <w:rPr>
          <w:rtl/>
        </w:rPr>
        <w:t xml:space="preserve">شکاف سومی نیز در تلاقی ادبیات داخلی و خارجی قابل مشاهده است. نجاتی (۱۴۰۰) و سیدغفوری و همکاران (۱۴۰۳) هر دو به بُعد دیجیتال و کانال‌های فروش در صنعت مواد غذایی ایران پرداخته‌اند، اما از زاویه بنگاه‌های با سبد محصول متنوع یا زنجیره توزیع در کل. لاندجوهو و کریستوفر (۲۰۲۶)</w:t>
      </w:r>
      <w:r>
        <w:rPr>
          <w:rStyle w:val="FootnoteReference"/>
        </w:rPr>
        <w:footnoteReference w:id="71"/>
      </w:r>
      <w:r>
        <w:rPr>
          <w:rtl/>
        </w:rPr>
        <w:t xml:space="preserve"> و شرابتی و همکاران (۲۰۲۴)</w:t>
      </w:r>
      <w:r>
        <w:rPr>
          <w:rStyle w:val="FootnoteReference"/>
        </w:rPr>
        <w:footnoteReference w:id="72"/>
      </w:r>
      <w:r>
        <w:rPr>
          <w:rtl/>
        </w:rPr>
        <w:t xml:space="preserve"> نیز اثر بازاریابی دیجیتال را بر رشد و عملکرد بنگاه‌های کوچک و متوسط گزارش کرده‌اند،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pPr>
        <w:bidi/>
        <w:jc w:val="both"/>
      </w:pPr>
      <w:r>
        <w:rPr>
          <w:rtl/>
        </w:rPr>
        <w:t xml:space="preserve">مرور مبانی نظری و پیشینه پژوهش در بخش‌های پیشین، مجموعه‌ای از عوامل را به‌عنوان چالش‌های بالقوه فروش در بنگاه‌های صنعت مواد غذایی برجسته می‌سازد.</w:t>
      </w:r>
      <w:r>
        <w:rPr>
          <w:rtl/>
        </w:rPr>
        <w:t xml:space="preserve"> استخراج این عوامل بر دو معیار استوار بوده است: نخست، تکرار آن عامل در دست‌کم یکی از مبانی نظری یا پیشینه تجربی مرور‌شده در این فصل؛ دوم، تناسب مستقیم آن با واحد تحلیل پژوهش، یعنی بنگاه تک‌محصولی فعال در صنعت مواد غذایی.</w:t>
      </w:r>
      <w:r>
        <w:rPr>
          <w:rtl/>
        </w:rPr>
        <w:t xml:space="preserve"> در پژوهش اکتشافی، چنین فهرستی صرفاً نقطه آغاز حساس‌سازی پژوهشگر است، نه چارچوبی تحمیلی بر داده میدانی؛ رویکردی که پژوهش حاضر نیز در تدوین جدول ۲-۱ دنبال می‌کند.</w:t>
      </w:r>
      <w:r>
        <w:rPr>
          <w:rtl/>
        </w:rPr>
        <w:t xml:space="preserve"> این عوامل پیش از ورود به میدان، تصویری اولیه و موقت از قلمرو مسئله فراهم می‌آورند و در فصل پنجم، یافته‌های حاصل از دلفی با آن‌ها مقایسه خواهد شد.</w:t>
      </w:r>
      <w:r>
        <w:rPr>
          <w:rtl/>
        </w:rPr>
        <w:t xml:space="preserve"> این فهرست همچنین تلفیقی از دو دسته منبع است: مبانی نظری بخش ۲-۲ که ماهیتی عمدتاً مفهومی و غیرایرانی دارند، و مطالعات تجربی داخلی و خارجی که در این فصل به آن‌ها استناد شده است و با بستر پژوهش حاضر مرتبط‌اند؛ ترکیبی که تلاشی است برای پیوند دادن تعمیم‌پذیری نظری با تناسب زمینه‌ای.</w:t>
      </w:r>
      <w:r>
        <w:rPr>
          <w:rtl/>
        </w:rPr>
        <w:t xml:space="preserve">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pPr>
        <w:bidi/>
        <w:jc w:val="both"/>
      </w:pPr>
      <w:r>
        <w:rPr>
          <w:rtl/>
        </w:rPr>
        <w:t xml:space="preserve">نگاهی به جدول بالا نشان می‌دهد که چالش‌های برگرفته از ادبیات نظری در دو دسته کلی جای می‌گیرند: دسته نخست، عوامل درون‌سازمانی همسو با دیدگاه منبع‌محور (کرو و بوگاله، ۲۰۲۳)</w:t>
      </w:r>
      <w:r>
        <w:rPr>
          <w:rStyle w:val="FootnoteReference"/>
        </w:rPr>
        <w:footnoteReference w:id="73"/>
      </w:r>
      <w:r>
        <w:rPr>
          <w:rtl/>
        </w:rPr>
        <w:t xml:space="preserve"> مانند وابستگی درآمدی به یک منبع، پیش‌بینی نادرست تقاضا، شکاف نگرش-رفتار مصرف‌کننده، ضعف برندسازی و ناکارآمدی توزیع را در بر می‌گیرد؛ 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74"/>
      </w:r>
      <w:r>
        <w:rPr>
          <w:rtl/>
        </w:rPr>
        <w:t xml:space="preserve"> همسوست، و نیز اختلال تأمین و الزامات نظارتی را شامل می‌شود.</w:t>
      </w:r>
      <w:r>
        <w:rPr>
          <w:rtl/>
        </w:rPr>
        <w:t xml:space="preserve"> این تفکیک دوگانه با چارچوب نظری ارائه‌شده در بخش ۲-۲-۳ هم‌خوان است و در فصل چهارم، هنگام سازمان‌دهی گویه‌ها در سلسله‌مراتب AHP، مبنای تفکیک مؤلفه‌ها به درون‌سازمانی و برون‌سازمانی قرار خواهد گرفت.</w:t>
      </w:r>
    </w:p>
    <w:p>
      <w:pPr>
        <w:bidi/>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در مرحله ترکیب و بررسی گویه‌ها با کدهای پاسخ‌های دور نخست سنجیده شد؛ گویه‌ها از کدهای پاسخ‌ها ساخته شدند و چالشی از این فهرست تنها در صورتی وارد گویه‌ها شد که خبرگان آن را مطرح کرده بودند.</w:t>
      </w:r>
      <w:r>
        <w:rPr>
          <w:rtl/>
        </w:rPr>
        <w:t xml:space="preserve">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مصاحبه دور نخست دلفی در فصل سوم فراهم می‌آورد.</w:t>
      </w:r>
      <w:r>
        <w:rPr>
          <w:rtl/>
        </w:rPr>
        <w:t xml:space="preserve"> پرسش باز دور نخست دلفی به‌گونه‌ای طراحی شد که خبرگان را به روایت آزاد تجربه خود درباره چالش‌های فروش ترغیب کنند، بدون آنکه عناوین دقیق جدول ۲-۱ مستقیماً در پرسش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jc w:val="both"/>
      </w:pPr>
      <w:r>
        <w:rPr>
          <w:rtl/>
        </w:rPr>
        <w:t xml:space="preserve">این فصل با مرور مبانی نظری مرتبط با فروش، چالش‌های فروش، شرکت‌های تک‌محصولی و صنعت مواد غذایی آغاز شد، در ادامه پنج مطالعه داخلی و پنج مطالعه خارجی را که اثر عامل‌های گوناگون بر فروش و عملکرد بنگاه‌ها را بررسی کرده‌اند مرور کرد و در پایان، چالش‌های فروش برگرفته از ادبیات نظری را در قالب جدولی فشرده جمع‌بندی نمود.</w:t>
      </w:r>
      <w:r>
        <w:rPr>
          <w:rtl/>
        </w:rPr>
        <w:t xml:space="preserve">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می‌گیرد؛ دوم، شرکت تک‌محصولی، به دلیل فقدان سازوکار جبران درون‌سازمانی، در هر یک از این لایه‌ها با آسیب‌پذیری ساختاری ویژه‌ای روبه‌روست؛ و سوم، صنعت مواد غذایی، با ویژگی‌های خاص خود، این آسیب‌پذیری را تشدید می‌کند.</w:t>
      </w:r>
      <w:r>
        <w:rPr>
          <w:rtl/>
        </w:rPr>
        <w:t xml:space="preserve"> میکلیان و هولشر (۲۰۲۲)</w:t>
      </w:r>
      <w:r>
        <w:rPr>
          <w:rStyle w:val="FootnoteReference"/>
        </w:rPr>
        <w:footnoteReference w:id="75"/>
      </w:r>
      <w:r>
        <w:rPr>
          <w:rtl/>
        </w:rPr>
        <w:t xml:space="preserve"> در مرور مفهومی خود بر ادبیات شوک‌های برون‌زا، دستور کاری برای پژوهش‌های آینده درباره بنگاه‌های کوچک و متوسط ارائه کرده‌اند.</w:t>
      </w:r>
      <w:r>
        <w:rPr>
          <w:rtl/>
        </w:rPr>
        <w:t xml:space="preserve">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